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C40A25" w:rsidP="00C40A25">
      <w:pPr>
        <w:spacing w:line="220" w:lineRule="atLeast"/>
        <w:jc w:val="center"/>
        <w:rPr>
          <w:rFonts w:ascii="Arial" w:hAnsi="Arial" w:cs="Arial" w:hint="eastAsia"/>
          <w:b/>
          <w:bCs/>
          <w:color w:val="DD0000"/>
          <w:kern w:val="36"/>
          <w:sz w:val="39"/>
          <w:szCs w:val="39"/>
        </w:rPr>
      </w:pPr>
      <w:r>
        <w:rPr>
          <w:rFonts w:ascii="Arial" w:hAnsi="Arial" w:cs="Arial"/>
          <w:b/>
          <w:bCs/>
          <w:color w:val="DD0000"/>
          <w:kern w:val="36"/>
          <w:sz w:val="39"/>
          <w:szCs w:val="39"/>
        </w:rPr>
        <w:t>住房城乡建设部办公厅关于甲级工程造价咨询企业资质审核有关事项的通知</w:t>
      </w:r>
    </w:p>
    <w:p w:rsidR="00C40A25" w:rsidRDefault="00C40A25" w:rsidP="00C40A25">
      <w:pPr>
        <w:pStyle w:val="a4"/>
        <w:spacing w:line="375" w:lineRule="atLeast"/>
        <w:jc w:val="center"/>
        <w:rPr>
          <w:color w:val="333333"/>
          <w:sz w:val="21"/>
          <w:szCs w:val="21"/>
        </w:rPr>
      </w:pPr>
      <w:r>
        <w:rPr>
          <w:rFonts w:hint="eastAsia"/>
          <w:color w:val="333333"/>
          <w:sz w:val="21"/>
          <w:szCs w:val="21"/>
        </w:rPr>
        <w:t>建办标[2015]20号</w:t>
      </w:r>
    </w:p>
    <w:p w:rsidR="00C40A25" w:rsidRDefault="00C40A25" w:rsidP="00C40A25">
      <w:pPr>
        <w:pStyle w:val="a4"/>
        <w:spacing w:line="330" w:lineRule="atLeast"/>
        <w:rPr>
          <w:rFonts w:hint="eastAsia"/>
          <w:color w:val="333333"/>
          <w:sz w:val="21"/>
          <w:szCs w:val="21"/>
        </w:rPr>
      </w:pPr>
      <w:r>
        <w:rPr>
          <w:rFonts w:hint="eastAsia"/>
          <w:color w:val="333333"/>
          <w:sz w:val="21"/>
          <w:szCs w:val="21"/>
        </w:rPr>
        <w:t>各省、自治区住房城乡建设厅，直辖市建委，国务院有关部门：</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为贯彻落实《住房城乡建设部关于进一步推进工程造价管理改革的指导意见》（建标[2014]142号）有关行政审批制度改革的要求，简化审批流程，提高审批效率，现就进一步改进甲级工程造价咨询企业资质审核工作通知如下：</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w:t>
      </w:r>
      <w:r>
        <w:rPr>
          <w:rStyle w:val="a3"/>
          <w:rFonts w:hint="eastAsia"/>
          <w:color w:val="333333"/>
          <w:sz w:val="21"/>
          <w:szCs w:val="21"/>
        </w:rPr>
        <w:t>一、企业晋升甲级资质审核</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一）企业在申请晋升甲级工程造价咨询企业资质时，应确保网上申报材料清晰完整；书面申报材料不再提供造价工程师和造价员的证书、身份证、职称证书及其批准文件、劳动合同、人事代理合同复印件，我部将依据网上申报材料进行审核。其他书面申报材料不变。</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二）省级住房城乡建设行政主管部门在进行初审时，应对所有申报企业进行实地核查，特别是要到相关管理部门核查企业造价师出资比例、企业缴纳社保等情况，填写核查情况表，并由核查人员签章（核查情况表从工程造价咨询企业、造价工程师管理系统下载）。初审合格企业申报资料连同核查情况表一并报送我部，初审不合格企业相关材料不再报送。</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（三）我部随时接收企业晋升甲级资质的申请材料，及时组织专家评审，加大评审频次。</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w:t>
      </w:r>
      <w:r>
        <w:rPr>
          <w:rStyle w:val="a3"/>
          <w:rFonts w:hint="eastAsia"/>
          <w:color w:val="333333"/>
          <w:sz w:val="21"/>
          <w:szCs w:val="21"/>
        </w:rPr>
        <w:t xml:space="preserve">　二、企业资质延续审核</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（一）甲级工程造价咨询企业资质延续的审核工作委托企业工商注册所在地省级住房城乡建设行政主管部门实施。</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（二）省级住房城乡建设行政主管部门应及时组织审核工作，在向我部报送审核意见的同时，提交网上申请材料。我部将根据省级住房城乡建设行政主管部门的审核结果颁发资质证书。</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（三）有关专业部门管理的企业，其资质延续仍由我部组织实施。</w:t>
      </w:r>
    </w:p>
    <w:p w:rsidR="00C40A25" w:rsidRDefault="00C40A25" w:rsidP="00C40A25">
      <w:pPr>
        <w:pStyle w:val="a4"/>
        <w:spacing w:line="330" w:lineRule="atLeast"/>
        <w:rPr>
          <w:rFonts w:hint="eastAsia"/>
          <w:color w:val="333333"/>
          <w:sz w:val="21"/>
          <w:szCs w:val="21"/>
        </w:rPr>
      </w:pPr>
      <w:r>
        <w:rPr>
          <w:rStyle w:val="a3"/>
          <w:rFonts w:hint="eastAsia"/>
          <w:color w:val="333333"/>
          <w:sz w:val="21"/>
          <w:szCs w:val="21"/>
        </w:rPr>
        <w:t xml:space="preserve">　　三、企业资质变更审核</w:t>
      </w:r>
    </w:p>
    <w:p w:rsidR="00C40A25" w:rsidRDefault="00C40A25" w:rsidP="00C40A25">
      <w:pPr>
        <w:pStyle w:val="a4"/>
        <w:spacing w:line="330" w:lineRule="atLeast"/>
        <w:rPr>
          <w:rFonts w:hint="eastAsia"/>
          <w:color w:val="333333"/>
          <w:sz w:val="21"/>
          <w:szCs w:val="21"/>
        </w:rPr>
      </w:pPr>
      <w:r>
        <w:rPr>
          <w:rFonts w:hint="eastAsia"/>
          <w:color w:val="333333"/>
          <w:sz w:val="21"/>
          <w:szCs w:val="21"/>
        </w:rPr>
        <w:lastRenderedPageBreak/>
        <w:t xml:space="preserve">　　（一）由我部负责的企业名称、组织形式、注册资本、注册地变更的审核事项，委托省级住房城乡建设行政主管部门实施。省级住房城乡建设行政主管部门应在企业资质证书副本变更栏内注明变更具体事项，并及时在工程造价咨询企业、造价工程师管理系统内更新企业变更信息。需要换发证书的，可由省级住房城乡建设行政主管部门统一到我部办理，或企业持省级住房城乡建设行政主管部门审核意见，自行到我部办理。</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有关专业部门管理的企业，其资质变更仍由我部组织实施。</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（二）涉及企业分立、合并等需重新核定企业资质的，仍由企业工商注册所在地省级住房城乡建设行政主管部门或有关专业部门初审合格后，报我部办理变更手续并换发证书。</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w:t>
      </w:r>
      <w:r>
        <w:rPr>
          <w:rStyle w:val="a3"/>
          <w:rFonts w:hint="eastAsia"/>
          <w:color w:val="333333"/>
          <w:sz w:val="21"/>
          <w:szCs w:val="21"/>
        </w:rPr>
        <w:t>四、推行电子化审批</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我部已对工程造价咨询企业、造价工程师管理系统进行升级改造，自今年下半年开始，逐步实现资质电子化申报和审批。使用自行开发审批系统的专业部门和地区，应按照统一的数据标准进行数据对接，及时交换企业信息，实现数据共享，为建立统一的企业、人员信用信息系统奠定基础。</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各专业部门和省级住房城乡建设行政主管部门应建立并严格执行资质审查工作各项规章制度，明确审查工作要求，规范审查工作程序，保证审查工作质量。为加强对工程造价咨询企业资质的动态监管，我部将不定期抽选企业进行实地核查，对经核查存在问题的企业，按照《工程造价咨询企业管理办法》（建设部令第149号）相关规定进行处理，并通过工程造价咨询企业、造价工程师管理系统进行信用信息公示，形成社会监督机制。我部将就各专业部门和省级住房城乡建设行政主管部门，对工程造价咨询企业晋升甲级资质的初审情况、造价咨询企业日常监管情况进行通报。</w:t>
      </w:r>
    </w:p>
    <w:p w:rsidR="00C40A25" w:rsidRDefault="00C40A25" w:rsidP="00C40A25">
      <w:pPr>
        <w:pStyle w:val="a4"/>
        <w:spacing w:line="330" w:lineRule="atLeast"/>
        <w:rPr>
          <w:rFonts w:hint="eastAsia"/>
          <w:color w:val="333333"/>
          <w:sz w:val="21"/>
          <w:szCs w:val="21"/>
        </w:rPr>
      </w:pPr>
      <w:r>
        <w:rPr>
          <w:rFonts w:hint="eastAsia"/>
          <w:color w:val="333333"/>
          <w:sz w:val="21"/>
          <w:szCs w:val="21"/>
        </w:rPr>
        <w:t xml:space="preserve">　　本通知自2015年6月1日起执行。 </w:t>
      </w:r>
    </w:p>
    <w:p w:rsidR="00C40A25" w:rsidRDefault="00C40A25" w:rsidP="00C40A25">
      <w:pPr>
        <w:pStyle w:val="a4"/>
        <w:spacing w:line="330" w:lineRule="atLeast"/>
        <w:jc w:val="right"/>
        <w:rPr>
          <w:rFonts w:hint="eastAsia"/>
          <w:color w:val="333333"/>
          <w:sz w:val="21"/>
          <w:szCs w:val="21"/>
        </w:rPr>
      </w:pPr>
      <w:r>
        <w:rPr>
          <w:rFonts w:hint="eastAsia"/>
          <w:color w:val="333333"/>
          <w:sz w:val="21"/>
          <w:szCs w:val="21"/>
        </w:rPr>
        <w:t xml:space="preserve">　　　　　　　　　　　　　　　　中华人民共和国住房和城乡建设部办公厅</w:t>
      </w:r>
      <w:r>
        <w:rPr>
          <w:rFonts w:hint="eastAsia"/>
          <w:color w:val="333333"/>
          <w:sz w:val="21"/>
          <w:szCs w:val="21"/>
        </w:rPr>
        <w:br/>
        <w:t xml:space="preserve">2015年4月20日 </w:t>
      </w:r>
    </w:p>
    <w:p w:rsidR="00C40A25" w:rsidRPr="00C40A25" w:rsidRDefault="00C40A25" w:rsidP="00C40A25">
      <w:pPr>
        <w:spacing w:line="220" w:lineRule="atLeast"/>
        <w:jc w:val="center"/>
        <w:rPr>
          <w:b/>
        </w:rPr>
      </w:pPr>
    </w:p>
    <w:sectPr w:rsidR="00C40A25" w:rsidRPr="00C40A25"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872844"/>
    <w:rsid w:val="008B7726"/>
    <w:rsid w:val="00C40A2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0A25"/>
    <w:rPr>
      <w:b/>
      <w:bCs/>
    </w:rPr>
  </w:style>
  <w:style w:type="paragraph" w:styleId="a4">
    <w:name w:val="Normal (Web)"/>
    <w:basedOn w:val="a"/>
    <w:uiPriority w:val="99"/>
    <w:semiHidden/>
    <w:unhideWhenUsed/>
    <w:rsid w:val="00C40A2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0347954">
      <w:bodyDiv w:val="1"/>
      <w:marLeft w:val="0"/>
      <w:marRight w:val="0"/>
      <w:marTop w:val="0"/>
      <w:marBottom w:val="0"/>
      <w:divBdr>
        <w:top w:val="none" w:sz="0" w:space="0" w:color="auto"/>
        <w:left w:val="none" w:sz="0" w:space="0" w:color="auto"/>
        <w:bottom w:val="none" w:sz="0" w:space="0" w:color="auto"/>
        <w:right w:val="none" w:sz="0" w:space="0" w:color="auto"/>
      </w:divBdr>
      <w:divsChild>
        <w:div w:id="1474518803">
          <w:marLeft w:val="0"/>
          <w:marRight w:val="0"/>
          <w:marTop w:val="100"/>
          <w:marBottom w:val="100"/>
          <w:divBdr>
            <w:top w:val="none" w:sz="0" w:space="0" w:color="auto"/>
            <w:left w:val="none" w:sz="0" w:space="0" w:color="auto"/>
            <w:bottom w:val="none" w:sz="0" w:space="0" w:color="auto"/>
            <w:right w:val="none" w:sz="0" w:space="0" w:color="auto"/>
          </w:divBdr>
          <w:divsChild>
            <w:div w:id="90903869">
              <w:marLeft w:val="0"/>
              <w:marRight w:val="0"/>
              <w:marTop w:val="0"/>
              <w:marBottom w:val="0"/>
              <w:divBdr>
                <w:top w:val="none" w:sz="0" w:space="0" w:color="auto"/>
                <w:left w:val="none" w:sz="0" w:space="0" w:color="auto"/>
                <w:bottom w:val="none" w:sz="0" w:space="0" w:color="auto"/>
                <w:right w:val="none" w:sz="0" w:space="0" w:color="auto"/>
              </w:divBdr>
              <w:divsChild>
                <w:div w:id="605700127">
                  <w:marLeft w:val="0"/>
                  <w:marRight w:val="0"/>
                  <w:marTop w:val="0"/>
                  <w:marBottom w:val="0"/>
                  <w:divBdr>
                    <w:top w:val="none" w:sz="0" w:space="0" w:color="auto"/>
                    <w:left w:val="none" w:sz="0" w:space="0" w:color="auto"/>
                    <w:bottom w:val="none" w:sz="0" w:space="0" w:color="auto"/>
                    <w:right w:val="none" w:sz="0" w:space="0" w:color="auto"/>
                  </w:divBdr>
                  <w:divsChild>
                    <w:div w:id="565578837">
                      <w:marLeft w:val="0"/>
                      <w:marRight w:val="0"/>
                      <w:marTop w:val="0"/>
                      <w:marBottom w:val="0"/>
                      <w:divBdr>
                        <w:top w:val="none" w:sz="0" w:space="0" w:color="auto"/>
                        <w:left w:val="none" w:sz="0" w:space="0" w:color="auto"/>
                        <w:bottom w:val="none" w:sz="0" w:space="0" w:color="auto"/>
                        <w:right w:val="none" w:sz="0" w:space="0" w:color="auto"/>
                      </w:divBdr>
                      <w:divsChild>
                        <w:div w:id="1247692045">
                          <w:marLeft w:val="0"/>
                          <w:marRight w:val="0"/>
                          <w:marTop w:val="0"/>
                          <w:marBottom w:val="0"/>
                          <w:divBdr>
                            <w:top w:val="none" w:sz="0" w:space="0" w:color="auto"/>
                            <w:left w:val="none" w:sz="0" w:space="0" w:color="auto"/>
                            <w:bottom w:val="none" w:sz="0" w:space="0" w:color="auto"/>
                            <w:right w:val="none" w:sz="0" w:space="0" w:color="auto"/>
                          </w:divBdr>
                          <w:divsChild>
                            <w:div w:id="372921892">
                              <w:marLeft w:val="0"/>
                              <w:marRight w:val="0"/>
                              <w:marTop w:val="0"/>
                              <w:marBottom w:val="0"/>
                              <w:divBdr>
                                <w:top w:val="none" w:sz="0" w:space="0" w:color="auto"/>
                                <w:left w:val="none" w:sz="0" w:space="0" w:color="auto"/>
                                <w:bottom w:val="none" w:sz="0" w:space="0" w:color="auto"/>
                                <w:right w:val="none" w:sz="0" w:space="0" w:color="auto"/>
                              </w:divBdr>
                              <w:divsChild>
                                <w:div w:id="20021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4261">
      <w:bodyDiv w:val="1"/>
      <w:marLeft w:val="0"/>
      <w:marRight w:val="0"/>
      <w:marTop w:val="0"/>
      <w:marBottom w:val="0"/>
      <w:divBdr>
        <w:top w:val="none" w:sz="0" w:space="0" w:color="auto"/>
        <w:left w:val="none" w:sz="0" w:space="0" w:color="auto"/>
        <w:bottom w:val="none" w:sz="0" w:space="0" w:color="auto"/>
        <w:right w:val="none" w:sz="0" w:space="0" w:color="auto"/>
      </w:divBdr>
      <w:divsChild>
        <w:div w:id="437332244">
          <w:marLeft w:val="0"/>
          <w:marRight w:val="0"/>
          <w:marTop w:val="100"/>
          <w:marBottom w:val="100"/>
          <w:divBdr>
            <w:top w:val="none" w:sz="0" w:space="0" w:color="auto"/>
            <w:left w:val="none" w:sz="0" w:space="0" w:color="auto"/>
            <w:bottom w:val="none" w:sz="0" w:space="0" w:color="auto"/>
            <w:right w:val="none" w:sz="0" w:space="0" w:color="auto"/>
          </w:divBdr>
          <w:divsChild>
            <w:div w:id="985403510">
              <w:marLeft w:val="0"/>
              <w:marRight w:val="0"/>
              <w:marTop w:val="0"/>
              <w:marBottom w:val="0"/>
              <w:divBdr>
                <w:top w:val="none" w:sz="0" w:space="0" w:color="auto"/>
                <w:left w:val="none" w:sz="0" w:space="0" w:color="auto"/>
                <w:bottom w:val="none" w:sz="0" w:space="0" w:color="auto"/>
                <w:right w:val="none" w:sz="0" w:space="0" w:color="auto"/>
              </w:divBdr>
              <w:divsChild>
                <w:div w:id="632636756">
                  <w:marLeft w:val="0"/>
                  <w:marRight w:val="0"/>
                  <w:marTop w:val="0"/>
                  <w:marBottom w:val="0"/>
                  <w:divBdr>
                    <w:top w:val="none" w:sz="0" w:space="0" w:color="auto"/>
                    <w:left w:val="none" w:sz="0" w:space="0" w:color="auto"/>
                    <w:bottom w:val="none" w:sz="0" w:space="0" w:color="auto"/>
                    <w:right w:val="none" w:sz="0" w:space="0" w:color="auto"/>
                  </w:divBdr>
                  <w:divsChild>
                    <w:div w:id="1245454843">
                      <w:marLeft w:val="0"/>
                      <w:marRight w:val="0"/>
                      <w:marTop w:val="0"/>
                      <w:marBottom w:val="0"/>
                      <w:divBdr>
                        <w:top w:val="none" w:sz="0" w:space="0" w:color="auto"/>
                        <w:left w:val="none" w:sz="0" w:space="0" w:color="auto"/>
                        <w:bottom w:val="none" w:sz="0" w:space="0" w:color="auto"/>
                        <w:right w:val="none" w:sz="0" w:space="0" w:color="auto"/>
                      </w:divBdr>
                      <w:divsChild>
                        <w:div w:id="925574836">
                          <w:marLeft w:val="0"/>
                          <w:marRight w:val="0"/>
                          <w:marTop w:val="0"/>
                          <w:marBottom w:val="0"/>
                          <w:divBdr>
                            <w:top w:val="none" w:sz="0" w:space="0" w:color="auto"/>
                            <w:left w:val="none" w:sz="0" w:space="0" w:color="auto"/>
                            <w:bottom w:val="none" w:sz="0" w:space="0" w:color="auto"/>
                            <w:right w:val="none" w:sz="0" w:space="0" w:color="auto"/>
                          </w:divBdr>
                          <w:divsChild>
                            <w:div w:id="2091002677">
                              <w:marLeft w:val="0"/>
                              <w:marRight w:val="0"/>
                              <w:marTop w:val="0"/>
                              <w:marBottom w:val="0"/>
                              <w:divBdr>
                                <w:top w:val="none" w:sz="0" w:space="0" w:color="auto"/>
                                <w:left w:val="none" w:sz="0" w:space="0" w:color="auto"/>
                                <w:bottom w:val="none" w:sz="0" w:space="0" w:color="auto"/>
                                <w:right w:val="none" w:sz="0" w:space="0" w:color="auto"/>
                              </w:divBdr>
                              <w:divsChild>
                                <w:div w:id="1423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75782">
      <w:bodyDiv w:val="1"/>
      <w:marLeft w:val="0"/>
      <w:marRight w:val="0"/>
      <w:marTop w:val="0"/>
      <w:marBottom w:val="0"/>
      <w:divBdr>
        <w:top w:val="none" w:sz="0" w:space="0" w:color="auto"/>
        <w:left w:val="none" w:sz="0" w:space="0" w:color="auto"/>
        <w:bottom w:val="none" w:sz="0" w:space="0" w:color="auto"/>
        <w:right w:val="none" w:sz="0" w:space="0" w:color="auto"/>
      </w:divBdr>
      <w:divsChild>
        <w:div w:id="1381246916">
          <w:marLeft w:val="0"/>
          <w:marRight w:val="0"/>
          <w:marTop w:val="100"/>
          <w:marBottom w:val="100"/>
          <w:divBdr>
            <w:top w:val="none" w:sz="0" w:space="0" w:color="auto"/>
            <w:left w:val="none" w:sz="0" w:space="0" w:color="auto"/>
            <w:bottom w:val="none" w:sz="0" w:space="0" w:color="auto"/>
            <w:right w:val="none" w:sz="0" w:space="0" w:color="auto"/>
          </w:divBdr>
          <w:divsChild>
            <w:div w:id="662510135">
              <w:marLeft w:val="0"/>
              <w:marRight w:val="0"/>
              <w:marTop w:val="0"/>
              <w:marBottom w:val="0"/>
              <w:divBdr>
                <w:top w:val="none" w:sz="0" w:space="0" w:color="auto"/>
                <w:left w:val="none" w:sz="0" w:space="0" w:color="auto"/>
                <w:bottom w:val="none" w:sz="0" w:space="0" w:color="auto"/>
                <w:right w:val="none" w:sz="0" w:space="0" w:color="auto"/>
              </w:divBdr>
              <w:divsChild>
                <w:div w:id="401832769">
                  <w:marLeft w:val="0"/>
                  <w:marRight w:val="0"/>
                  <w:marTop w:val="0"/>
                  <w:marBottom w:val="0"/>
                  <w:divBdr>
                    <w:top w:val="none" w:sz="0" w:space="0" w:color="auto"/>
                    <w:left w:val="none" w:sz="0" w:space="0" w:color="auto"/>
                    <w:bottom w:val="none" w:sz="0" w:space="0" w:color="auto"/>
                    <w:right w:val="none" w:sz="0" w:space="0" w:color="auto"/>
                  </w:divBdr>
                  <w:divsChild>
                    <w:div w:id="201209684">
                      <w:marLeft w:val="0"/>
                      <w:marRight w:val="0"/>
                      <w:marTop w:val="0"/>
                      <w:marBottom w:val="0"/>
                      <w:divBdr>
                        <w:top w:val="none" w:sz="0" w:space="0" w:color="auto"/>
                        <w:left w:val="none" w:sz="0" w:space="0" w:color="auto"/>
                        <w:bottom w:val="none" w:sz="0" w:space="0" w:color="auto"/>
                        <w:right w:val="none" w:sz="0" w:space="0" w:color="auto"/>
                      </w:divBdr>
                      <w:divsChild>
                        <w:div w:id="1171025828">
                          <w:marLeft w:val="0"/>
                          <w:marRight w:val="0"/>
                          <w:marTop w:val="0"/>
                          <w:marBottom w:val="0"/>
                          <w:divBdr>
                            <w:top w:val="none" w:sz="0" w:space="0" w:color="auto"/>
                            <w:left w:val="none" w:sz="0" w:space="0" w:color="auto"/>
                            <w:bottom w:val="none" w:sz="0" w:space="0" w:color="auto"/>
                            <w:right w:val="none" w:sz="0" w:space="0" w:color="auto"/>
                          </w:divBdr>
                          <w:divsChild>
                            <w:div w:id="698629226">
                              <w:marLeft w:val="0"/>
                              <w:marRight w:val="0"/>
                              <w:marTop w:val="0"/>
                              <w:marBottom w:val="0"/>
                              <w:divBdr>
                                <w:top w:val="none" w:sz="0" w:space="0" w:color="auto"/>
                                <w:left w:val="none" w:sz="0" w:space="0" w:color="auto"/>
                                <w:bottom w:val="none" w:sz="0" w:space="0" w:color="auto"/>
                                <w:right w:val="none" w:sz="0" w:space="0" w:color="auto"/>
                              </w:divBdr>
                              <w:divsChild>
                                <w:div w:id="19608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2015-06-04T01:21:00Z</dcterms:modified>
</cp:coreProperties>
</file>