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59" w:rsidRDefault="00420259" w:rsidP="00420259">
      <w:r>
        <w:rPr>
          <w:rFonts w:hint="eastAsia"/>
        </w:rPr>
        <w:t>附件一：</w:t>
      </w:r>
    </w:p>
    <w:p w:rsidR="00420259" w:rsidRDefault="00420259" w:rsidP="00420259">
      <w:pPr>
        <w:jc w:val="center"/>
        <w:rPr>
          <w:rFonts w:ascii="黑体" w:eastAsia="黑体" w:hint="eastAsia"/>
          <w:b/>
          <w:sz w:val="30"/>
          <w:szCs w:val="30"/>
        </w:rPr>
      </w:pPr>
      <w:r>
        <w:rPr>
          <w:rFonts w:ascii="黑体" w:eastAsia="黑体" w:hint="eastAsia"/>
          <w:b/>
          <w:color w:val="000000"/>
          <w:sz w:val="30"/>
          <w:szCs w:val="30"/>
        </w:rPr>
        <w:t>招标代理机构</w:t>
      </w:r>
      <w:r>
        <w:rPr>
          <w:rFonts w:ascii="黑体" w:eastAsia="黑体" w:hint="eastAsia"/>
          <w:b/>
          <w:sz w:val="30"/>
          <w:szCs w:val="30"/>
        </w:rPr>
        <w:t>信用评价指标体系、权重分配及评分表</w:t>
      </w:r>
    </w:p>
    <w:p w:rsidR="00420259" w:rsidRPr="00420259" w:rsidRDefault="00420259" w:rsidP="00420259">
      <w:pPr>
        <w:jc w:val="center"/>
        <w:rPr>
          <w:rFonts w:ascii="黑体" w:eastAsia="黑体"/>
          <w:b/>
          <w:sz w:val="24"/>
          <w:szCs w:val="24"/>
        </w:rPr>
      </w:pPr>
    </w:p>
    <w:p w:rsidR="00420259" w:rsidRDefault="00420259" w:rsidP="00420259">
      <w:pPr>
        <w:rPr>
          <w:rFonts w:ascii="黑体" w:eastAsia="黑体" w:hAnsi="宋体"/>
          <w:b/>
          <w:bCs/>
          <w:color w:val="000000"/>
          <w:sz w:val="24"/>
        </w:rPr>
      </w:pPr>
      <w:r>
        <w:rPr>
          <w:rFonts w:ascii="黑体" w:eastAsia="黑体" w:hAnsi="宋体" w:hint="eastAsia"/>
          <w:b/>
          <w:bCs/>
          <w:color w:val="000000"/>
          <w:sz w:val="24"/>
        </w:rPr>
        <w:t>一、招标代理机构基本素质</w:t>
      </w:r>
    </w:p>
    <w:p w:rsidR="00420259" w:rsidRDefault="00420259" w:rsidP="00420259">
      <w:pPr>
        <w:rPr>
          <w:color w:val="000000"/>
        </w:rPr>
      </w:pPr>
      <w:r>
        <w:rPr>
          <w:rFonts w:hint="eastAsia"/>
          <w:color w:val="000000"/>
        </w:rPr>
        <w:t>招标代理机构基本素质指标体系由三方面构成，分别是企业规模、从业经验、人员状况。权重为</w:t>
      </w:r>
      <w:r>
        <w:rPr>
          <w:color w:val="000000"/>
        </w:rPr>
        <w:t>20%</w:t>
      </w:r>
      <w:r>
        <w:rPr>
          <w:rFonts w:hint="eastAsia"/>
          <w:color w:val="000000"/>
        </w:rPr>
        <w:t>。</w:t>
      </w:r>
    </w:p>
    <w:tbl>
      <w:tblPr>
        <w:tblW w:w="0" w:type="auto"/>
        <w:tblInd w:w="-601" w:type="dxa"/>
        <w:tblLayout w:type="fixed"/>
        <w:tblLook w:val="0000"/>
      </w:tblPr>
      <w:tblGrid>
        <w:gridCol w:w="691"/>
        <w:gridCol w:w="725"/>
        <w:gridCol w:w="690"/>
        <w:gridCol w:w="549"/>
        <w:gridCol w:w="974"/>
        <w:gridCol w:w="829"/>
        <w:gridCol w:w="1832"/>
        <w:gridCol w:w="2196"/>
        <w:gridCol w:w="1578"/>
      </w:tblGrid>
      <w:tr w:rsidR="00420259" w:rsidTr="00B72082">
        <w:trPr>
          <w:trHeight w:val="270"/>
        </w:trPr>
        <w:tc>
          <w:tcPr>
            <w:tcW w:w="1416"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一级指标</w:t>
            </w:r>
          </w:p>
        </w:tc>
        <w:tc>
          <w:tcPr>
            <w:tcW w:w="1239" w:type="dxa"/>
            <w:gridSpan w:val="2"/>
            <w:tcBorders>
              <w:top w:val="single" w:sz="4" w:space="0" w:color="auto"/>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二级指标</w:t>
            </w:r>
          </w:p>
        </w:tc>
        <w:tc>
          <w:tcPr>
            <w:tcW w:w="1803" w:type="dxa"/>
            <w:gridSpan w:val="2"/>
            <w:tcBorders>
              <w:top w:val="single" w:sz="4" w:space="0" w:color="auto"/>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三级指标</w:t>
            </w:r>
          </w:p>
        </w:tc>
        <w:tc>
          <w:tcPr>
            <w:tcW w:w="1832"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指标说明</w:t>
            </w:r>
          </w:p>
        </w:tc>
        <w:tc>
          <w:tcPr>
            <w:tcW w:w="3774" w:type="dxa"/>
            <w:gridSpan w:val="2"/>
            <w:vMerge w:val="restart"/>
            <w:tcBorders>
              <w:top w:val="single" w:sz="4" w:space="0" w:color="auto"/>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评价标准、评价方法和得分</w:t>
            </w:r>
          </w:p>
        </w:tc>
      </w:tr>
      <w:tr w:rsidR="00420259" w:rsidTr="00B72082">
        <w:trPr>
          <w:trHeight w:val="270"/>
        </w:trPr>
        <w:tc>
          <w:tcPr>
            <w:tcW w:w="691" w:type="dxa"/>
            <w:tcBorders>
              <w:top w:val="nil"/>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725"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权重</w:t>
            </w:r>
          </w:p>
        </w:tc>
        <w:tc>
          <w:tcPr>
            <w:tcW w:w="690"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549"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权重</w:t>
            </w:r>
          </w:p>
        </w:tc>
        <w:tc>
          <w:tcPr>
            <w:tcW w:w="974"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829"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权重</w:t>
            </w:r>
          </w:p>
        </w:tc>
        <w:tc>
          <w:tcPr>
            <w:tcW w:w="1832"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b/>
                <w:bCs/>
                <w:color w:val="000000"/>
                <w:kern w:val="0"/>
                <w:sz w:val="18"/>
                <w:szCs w:val="18"/>
              </w:rPr>
            </w:pPr>
          </w:p>
        </w:tc>
        <w:tc>
          <w:tcPr>
            <w:tcW w:w="3774" w:type="dxa"/>
            <w:gridSpan w:val="2"/>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b/>
                <w:bCs/>
                <w:color w:val="000000"/>
                <w:kern w:val="0"/>
                <w:sz w:val="18"/>
                <w:szCs w:val="18"/>
              </w:rPr>
            </w:pPr>
          </w:p>
        </w:tc>
      </w:tr>
      <w:tr w:rsidR="00420259" w:rsidTr="00B72082">
        <w:trPr>
          <w:trHeight w:val="450"/>
        </w:trPr>
        <w:tc>
          <w:tcPr>
            <w:tcW w:w="69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基本素质</w:t>
            </w:r>
          </w:p>
        </w:tc>
        <w:tc>
          <w:tcPr>
            <w:tcW w:w="725"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20%</w:t>
            </w:r>
          </w:p>
        </w:tc>
        <w:tc>
          <w:tcPr>
            <w:tcW w:w="690"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企业规模</w:t>
            </w:r>
          </w:p>
        </w:tc>
        <w:tc>
          <w:tcPr>
            <w:tcW w:w="549"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30%</w:t>
            </w:r>
          </w:p>
        </w:tc>
        <w:tc>
          <w:tcPr>
            <w:tcW w:w="974"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注册资本</w:t>
            </w:r>
          </w:p>
        </w:tc>
        <w:tc>
          <w:tcPr>
            <w:tcW w:w="829"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20%</w:t>
            </w:r>
          </w:p>
        </w:tc>
        <w:tc>
          <w:tcPr>
            <w:tcW w:w="1832"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通过对招标代理机构目前注册资本的统计，考核招标代理机构资金实力。</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8</w:t>
            </w:r>
            <w:r>
              <w:rPr>
                <w:rFonts w:ascii="宋体" w:hAnsi="宋体" w:cs="宋体"/>
                <w:color w:val="000000"/>
                <w:kern w:val="0"/>
                <w:sz w:val="18"/>
                <w:szCs w:val="18"/>
              </w:rPr>
              <w:t>00</w:t>
            </w:r>
            <w:r>
              <w:rPr>
                <w:rFonts w:ascii="宋体" w:hAnsi="宋体" w:cs="宋体" w:hint="eastAsia"/>
                <w:color w:val="000000"/>
                <w:kern w:val="0"/>
                <w:sz w:val="18"/>
                <w:szCs w:val="18"/>
              </w:rPr>
              <w:t>万元及以上</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45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0</w:t>
            </w:r>
            <w:r>
              <w:rPr>
                <w:rFonts w:ascii="宋体" w:cs="宋体"/>
                <w:color w:val="000000"/>
                <w:kern w:val="0"/>
                <w:sz w:val="18"/>
                <w:szCs w:val="18"/>
              </w:rPr>
              <w:t>0</w:t>
            </w:r>
            <w:r>
              <w:rPr>
                <w:rFonts w:ascii="宋体" w:hAnsi="宋体" w:cs="宋体" w:hint="eastAsia"/>
                <w:color w:val="000000"/>
                <w:kern w:val="0"/>
                <w:sz w:val="18"/>
                <w:szCs w:val="18"/>
              </w:rPr>
              <w:t>万元～80</w:t>
            </w:r>
            <w:r>
              <w:rPr>
                <w:rFonts w:ascii="宋体" w:cs="宋体"/>
                <w:color w:val="000000"/>
                <w:kern w:val="0"/>
                <w:sz w:val="18"/>
                <w:szCs w:val="18"/>
              </w:rPr>
              <w:t>0</w:t>
            </w:r>
            <w:r>
              <w:rPr>
                <w:rFonts w:ascii="宋体" w:hAnsi="宋体" w:cs="宋体" w:hint="eastAsia"/>
                <w:color w:val="000000"/>
                <w:kern w:val="0"/>
                <w:sz w:val="18"/>
                <w:szCs w:val="18"/>
              </w:rPr>
              <w:t>万元</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50</w:t>
            </w:r>
            <w:r>
              <w:rPr>
                <w:rFonts w:ascii="宋体" w:hAnsi="宋体" w:cs="宋体" w:hint="eastAsia"/>
                <w:color w:val="000000"/>
                <w:kern w:val="0"/>
                <w:sz w:val="18"/>
                <w:szCs w:val="18"/>
              </w:rPr>
              <w:t>万元～</w:t>
            </w:r>
            <w:r>
              <w:rPr>
                <w:rFonts w:ascii="宋体" w:hAnsi="宋体" w:cs="宋体"/>
                <w:color w:val="000000"/>
                <w:kern w:val="0"/>
                <w:sz w:val="18"/>
                <w:szCs w:val="18"/>
              </w:rPr>
              <w:t>2</w:t>
            </w:r>
            <w:r>
              <w:rPr>
                <w:rFonts w:ascii="宋体" w:cs="宋体"/>
                <w:color w:val="000000"/>
                <w:kern w:val="0"/>
                <w:sz w:val="18"/>
                <w:szCs w:val="18"/>
              </w:rPr>
              <w:t>00</w:t>
            </w:r>
            <w:r>
              <w:rPr>
                <w:rFonts w:ascii="宋体" w:hAnsi="宋体" w:cs="宋体" w:hint="eastAsia"/>
                <w:color w:val="000000"/>
                <w:kern w:val="0"/>
                <w:sz w:val="18"/>
                <w:szCs w:val="18"/>
              </w:rPr>
              <w:t>万元</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4</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低于</w:t>
            </w:r>
            <w:r>
              <w:rPr>
                <w:rFonts w:ascii="宋体" w:hAnsi="宋体" w:cs="宋体"/>
                <w:color w:val="000000"/>
                <w:kern w:val="0"/>
                <w:sz w:val="18"/>
                <w:szCs w:val="18"/>
              </w:rPr>
              <w:t>50</w:t>
            </w:r>
            <w:r>
              <w:rPr>
                <w:rFonts w:ascii="宋体" w:hAnsi="宋体" w:cs="宋体" w:hint="eastAsia"/>
                <w:color w:val="000000"/>
                <w:kern w:val="0"/>
                <w:sz w:val="18"/>
                <w:szCs w:val="18"/>
              </w:rPr>
              <w:t>万元</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办公条件</w:t>
            </w:r>
          </w:p>
        </w:tc>
        <w:tc>
          <w:tcPr>
            <w:tcW w:w="829"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1832"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通过对招标代理机构（包括企业总部及活跃分支机构）办公场所的大小，考核招标代理机构的办公条件。</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2</w:t>
            </w:r>
            <w:r>
              <w:rPr>
                <w:rFonts w:ascii="宋体" w:cs="宋体"/>
                <w:color w:val="000000"/>
                <w:kern w:val="0"/>
                <w:sz w:val="18"/>
                <w:szCs w:val="18"/>
              </w:rPr>
              <w:t>00</w:t>
            </w:r>
            <w:r>
              <w:rPr>
                <w:rFonts w:ascii="宋体" w:hAnsi="宋体" w:cs="宋体" w:hint="eastAsia"/>
                <w:color w:val="000000"/>
                <w:kern w:val="0"/>
                <w:sz w:val="18"/>
                <w:szCs w:val="18"/>
              </w:rPr>
              <w:t>平方米以上</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45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6</w:t>
            </w:r>
            <w:r>
              <w:rPr>
                <w:rFonts w:ascii="宋体" w:cs="宋体"/>
                <w:color w:val="000000"/>
                <w:kern w:val="0"/>
                <w:sz w:val="18"/>
                <w:szCs w:val="18"/>
              </w:rPr>
              <w:t>00</w:t>
            </w:r>
            <w:r>
              <w:rPr>
                <w:rFonts w:ascii="宋体" w:hAnsi="宋体" w:cs="宋体" w:hint="eastAsia"/>
                <w:color w:val="000000"/>
                <w:kern w:val="0"/>
                <w:sz w:val="18"/>
                <w:szCs w:val="18"/>
              </w:rPr>
              <w:t>平方米～1</w:t>
            </w:r>
            <w:r>
              <w:rPr>
                <w:rFonts w:ascii="宋体" w:hAnsi="宋体" w:cs="宋体"/>
                <w:color w:val="000000"/>
                <w:kern w:val="0"/>
                <w:sz w:val="18"/>
                <w:szCs w:val="18"/>
              </w:rPr>
              <w:t>2</w:t>
            </w:r>
            <w:r>
              <w:rPr>
                <w:rFonts w:ascii="宋体" w:cs="宋体"/>
                <w:color w:val="000000"/>
                <w:kern w:val="0"/>
                <w:sz w:val="18"/>
                <w:szCs w:val="18"/>
              </w:rPr>
              <w:t>00</w:t>
            </w:r>
            <w:r>
              <w:rPr>
                <w:rFonts w:ascii="宋体" w:hAnsi="宋体" w:cs="宋体" w:hint="eastAsia"/>
                <w:color w:val="000000"/>
                <w:kern w:val="0"/>
                <w:sz w:val="18"/>
                <w:szCs w:val="18"/>
              </w:rPr>
              <w:t>平方米</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6</w:t>
            </w:r>
          </w:p>
        </w:tc>
      </w:tr>
      <w:tr w:rsidR="00420259" w:rsidTr="00B72082">
        <w:trPr>
          <w:trHeight w:val="45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2</w:t>
            </w:r>
            <w:r>
              <w:rPr>
                <w:rFonts w:ascii="宋体" w:cs="宋体"/>
                <w:color w:val="000000"/>
                <w:kern w:val="0"/>
                <w:sz w:val="18"/>
                <w:szCs w:val="18"/>
              </w:rPr>
              <w:t>00</w:t>
            </w:r>
            <w:r>
              <w:rPr>
                <w:rFonts w:ascii="宋体" w:hAnsi="宋体" w:cs="宋体" w:hint="eastAsia"/>
                <w:color w:val="000000"/>
                <w:kern w:val="0"/>
                <w:sz w:val="18"/>
                <w:szCs w:val="18"/>
              </w:rPr>
              <w:t>平方米～6</w:t>
            </w:r>
            <w:r>
              <w:rPr>
                <w:rFonts w:ascii="宋体" w:cs="宋体"/>
                <w:color w:val="000000"/>
                <w:kern w:val="0"/>
                <w:sz w:val="18"/>
                <w:szCs w:val="18"/>
              </w:rPr>
              <w:t>00</w:t>
            </w:r>
            <w:r>
              <w:rPr>
                <w:rFonts w:ascii="宋体" w:hAnsi="宋体" w:cs="宋体" w:hint="eastAsia"/>
                <w:color w:val="000000"/>
                <w:kern w:val="0"/>
                <w:sz w:val="18"/>
                <w:szCs w:val="18"/>
              </w:rPr>
              <w:t>平方米</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4</w:t>
            </w:r>
          </w:p>
        </w:tc>
      </w:tr>
      <w:tr w:rsidR="00420259" w:rsidTr="00B72082">
        <w:trPr>
          <w:trHeight w:val="509"/>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w:t>
            </w:r>
            <w:r>
              <w:rPr>
                <w:rFonts w:ascii="宋体" w:cs="宋体"/>
                <w:color w:val="000000"/>
                <w:kern w:val="0"/>
                <w:sz w:val="18"/>
                <w:szCs w:val="18"/>
              </w:rPr>
              <w:t>00</w:t>
            </w:r>
            <w:r>
              <w:rPr>
                <w:rFonts w:ascii="宋体" w:hAnsi="宋体" w:cs="宋体" w:hint="eastAsia"/>
                <w:color w:val="000000"/>
                <w:kern w:val="0"/>
                <w:sz w:val="18"/>
                <w:szCs w:val="18"/>
              </w:rPr>
              <w:t>平方米以下</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员工人数</w:t>
            </w:r>
          </w:p>
        </w:tc>
        <w:tc>
          <w:tcPr>
            <w:tcW w:w="829"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1832"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通过对招标代理机构目前员工人数的统计，考核招标代理机构的项目容量。</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100</w:t>
            </w:r>
            <w:r>
              <w:rPr>
                <w:rFonts w:ascii="宋体" w:hAnsi="宋体" w:cs="宋体" w:hint="eastAsia"/>
                <w:color w:val="000000"/>
                <w:kern w:val="0"/>
                <w:sz w:val="18"/>
                <w:szCs w:val="18"/>
              </w:rPr>
              <w:t>人以上</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50</w:t>
            </w:r>
            <w:r>
              <w:rPr>
                <w:rFonts w:ascii="宋体" w:hAnsi="宋体" w:cs="宋体" w:hint="eastAsia"/>
                <w:color w:val="000000"/>
                <w:kern w:val="0"/>
                <w:sz w:val="18"/>
                <w:szCs w:val="18"/>
              </w:rPr>
              <w:t>人～</w:t>
            </w:r>
            <w:r>
              <w:rPr>
                <w:rFonts w:ascii="宋体" w:hAnsi="宋体" w:cs="宋体"/>
                <w:color w:val="000000"/>
                <w:kern w:val="0"/>
                <w:sz w:val="18"/>
                <w:szCs w:val="18"/>
              </w:rPr>
              <w:t>100</w:t>
            </w:r>
            <w:r>
              <w:rPr>
                <w:rFonts w:ascii="宋体" w:hAnsi="宋体" w:cs="宋体" w:hint="eastAsia"/>
                <w:color w:val="000000"/>
                <w:kern w:val="0"/>
                <w:sz w:val="18"/>
                <w:szCs w:val="18"/>
              </w:rPr>
              <w:t>人</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15人～</w:t>
            </w:r>
            <w:r>
              <w:rPr>
                <w:rFonts w:ascii="宋体" w:hAnsi="宋体" w:cs="宋体"/>
                <w:color w:val="000000"/>
                <w:kern w:val="0"/>
                <w:sz w:val="18"/>
                <w:szCs w:val="18"/>
              </w:rPr>
              <w:t>50</w:t>
            </w:r>
            <w:r>
              <w:rPr>
                <w:rFonts w:ascii="宋体" w:hAnsi="宋体" w:cs="宋体" w:hint="eastAsia"/>
                <w:color w:val="000000"/>
                <w:kern w:val="0"/>
                <w:sz w:val="18"/>
                <w:szCs w:val="18"/>
              </w:rPr>
              <w:t>人</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4</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15人以下</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0</w:t>
            </w:r>
          </w:p>
        </w:tc>
      </w:tr>
      <w:tr w:rsidR="00420259" w:rsidTr="00B72082">
        <w:trPr>
          <w:trHeight w:val="45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利润规模</w:t>
            </w:r>
          </w:p>
        </w:tc>
        <w:tc>
          <w:tcPr>
            <w:tcW w:w="829"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30%</w:t>
            </w:r>
          </w:p>
        </w:tc>
        <w:tc>
          <w:tcPr>
            <w:tcW w:w="1832"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通过对招标代理机构近二年净利润规模的统计，考核招标代理机构的业绩。</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15</w:t>
            </w:r>
            <w:r>
              <w:rPr>
                <w:rFonts w:ascii="宋体" w:hAnsi="宋体" w:cs="宋体"/>
                <w:color w:val="000000"/>
                <w:kern w:val="0"/>
                <w:sz w:val="18"/>
                <w:szCs w:val="18"/>
              </w:rPr>
              <w:t>0</w:t>
            </w:r>
            <w:r>
              <w:rPr>
                <w:rFonts w:ascii="宋体" w:hAnsi="宋体" w:cs="宋体" w:hint="eastAsia"/>
                <w:color w:val="000000"/>
                <w:kern w:val="0"/>
                <w:sz w:val="18"/>
                <w:szCs w:val="18"/>
              </w:rPr>
              <w:t>万元以上</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0</w:t>
            </w:r>
            <w:r>
              <w:rPr>
                <w:rFonts w:ascii="宋体" w:hAnsi="宋体" w:cs="宋体"/>
                <w:color w:val="000000"/>
                <w:kern w:val="0"/>
                <w:sz w:val="18"/>
                <w:szCs w:val="18"/>
              </w:rPr>
              <w:t>0</w:t>
            </w:r>
            <w:r>
              <w:rPr>
                <w:rFonts w:ascii="宋体" w:hAnsi="宋体" w:cs="宋体" w:hint="eastAsia"/>
                <w:color w:val="000000"/>
                <w:kern w:val="0"/>
                <w:sz w:val="18"/>
                <w:szCs w:val="18"/>
              </w:rPr>
              <w:t>万元～15</w:t>
            </w:r>
            <w:r>
              <w:rPr>
                <w:rFonts w:ascii="宋体" w:hAnsi="宋体" w:cs="宋体"/>
                <w:color w:val="000000"/>
                <w:kern w:val="0"/>
                <w:sz w:val="18"/>
                <w:szCs w:val="18"/>
              </w:rPr>
              <w:t>0</w:t>
            </w:r>
            <w:r>
              <w:rPr>
                <w:rFonts w:ascii="宋体" w:hAnsi="宋体" w:cs="宋体" w:hint="eastAsia"/>
                <w:color w:val="000000"/>
                <w:kern w:val="0"/>
                <w:sz w:val="18"/>
                <w:szCs w:val="18"/>
              </w:rPr>
              <w:t>万元（含）</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45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r>
              <w:rPr>
                <w:rFonts w:ascii="宋体" w:hAnsi="宋体" w:cs="宋体" w:hint="eastAsia"/>
                <w:color w:val="000000"/>
                <w:kern w:val="0"/>
                <w:sz w:val="18"/>
                <w:szCs w:val="18"/>
              </w:rPr>
              <w:t>万元～</w:t>
            </w:r>
            <w:r>
              <w:rPr>
                <w:rFonts w:ascii="宋体" w:hAnsi="宋体" w:cs="宋体"/>
                <w:color w:val="000000"/>
                <w:kern w:val="0"/>
                <w:sz w:val="18"/>
                <w:szCs w:val="18"/>
              </w:rPr>
              <w:t>1</w:t>
            </w:r>
            <w:r>
              <w:rPr>
                <w:rFonts w:ascii="宋体" w:hAnsi="宋体" w:cs="宋体" w:hint="eastAsia"/>
                <w:color w:val="000000"/>
                <w:kern w:val="0"/>
                <w:sz w:val="18"/>
                <w:szCs w:val="18"/>
              </w:rPr>
              <w:t>0</w:t>
            </w:r>
            <w:r>
              <w:rPr>
                <w:rFonts w:ascii="宋体" w:hAnsi="宋体" w:cs="宋体"/>
                <w:color w:val="000000"/>
                <w:kern w:val="0"/>
                <w:sz w:val="18"/>
                <w:szCs w:val="18"/>
              </w:rPr>
              <w:t>0</w:t>
            </w:r>
            <w:r>
              <w:rPr>
                <w:rFonts w:ascii="宋体" w:hAnsi="宋体" w:cs="宋体" w:hint="eastAsia"/>
                <w:color w:val="000000"/>
                <w:kern w:val="0"/>
                <w:sz w:val="18"/>
                <w:szCs w:val="18"/>
              </w:rPr>
              <w:t>万元（含）</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45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r>
              <w:rPr>
                <w:rFonts w:ascii="宋体" w:hAnsi="宋体" w:cs="宋体" w:hint="eastAsia"/>
                <w:color w:val="000000"/>
                <w:kern w:val="0"/>
                <w:sz w:val="18"/>
                <w:szCs w:val="18"/>
              </w:rPr>
              <w:t>万元以下</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4</w:t>
            </w:r>
          </w:p>
        </w:tc>
      </w:tr>
      <w:tr w:rsidR="00420259" w:rsidTr="00B72082">
        <w:trPr>
          <w:trHeight w:val="495"/>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从业经验</w:t>
            </w:r>
          </w:p>
        </w:tc>
        <w:tc>
          <w:tcPr>
            <w:tcW w:w="549"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30%</w:t>
            </w:r>
          </w:p>
        </w:tc>
        <w:tc>
          <w:tcPr>
            <w:tcW w:w="97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企业资质</w:t>
            </w:r>
          </w:p>
        </w:tc>
        <w:tc>
          <w:tcPr>
            <w:tcW w:w="829"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c>
          <w:tcPr>
            <w:tcW w:w="1832"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通过对招标代理机构资格及资质</w:t>
            </w:r>
            <w:r>
              <w:rPr>
                <w:rFonts w:ascii="宋体" w:hAnsi="宋体" w:cs="宋体"/>
                <w:color w:val="000000"/>
                <w:kern w:val="0"/>
                <w:sz w:val="18"/>
                <w:szCs w:val="18"/>
              </w:rPr>
              <w:t>(</w:t>
            </w:r>
            <w:r>
              <w:rPr>
                <w:rFonts w:ascii="宋体" w:hAnsi="宋体" w:cs="宋体" w:hint="eastAsia"/>
                <w:color w:val="000000"/>
                <w:kern w:val="0"/>
                <w:sz w:val="18"/>
                <w:szCs w:val="18"/>
              </w:rPr>
              <w:t>不限于招标代理资质</w:t>
            </w:r>
            <w:r>
              <w:rPr>
                <w:rFonts w:ascii="宋体" w:hAnsi="宋体" w:cs="宋体"/>
                <w:color w:val="000000"/>
                <w:kern w:val="0"/>
                <w:sz w:val="18"/>
                <w:szCs w:val="18"/>
              </w:rPr>
              <w:t>)</w:t>
            </w:r>
            <w:r>
              <w:rPr>
                <w:rFonts w:ascii="宋体" w:hAnsi="宋体" w:cs="宋体" w:hint="eastAsia"/>
                <w:color w:val="000000"/>
                <w:kern w:val="0"/>
                <w:sz w:val="18"/>
                <w:szCs w:val="18"/>
              </w:rPr>
              <w:t>等级情况，考核招标代理机构承揽业务能力、发展能力及竞争力。</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获得</w:t>
            </w:r>
            <w:r>
              <w:rPr>
                <w:rFonts w:ascii="宋体" w:hAnsi="宋体" w:cs="宋体"/>
                <w:color w:val="000000"/>
                <w:kern w:val="0"/>
                <w:sz w:val="18"/>
                <w:szCs w:val="18"/>
              </w:rPr>
              <w:t>2</w:t>
            </w:r>
            <w:r>
              <w:rPr>
                <w:rFonts w:ascii="宋体" w:hAnsi="宋体" w:cs="宋体" w:hint="eastAsia"/>
                <w:color w:val="000000"/>
                <w:kern w:val="0"/>
                <w:sz w:val="18"/>
                <w:szCs w:val="18"/>
              </w:rPr>
              <w:t>个及以上甲级资质</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45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获得</w:t>
            </w:r>
            <w:r>
              <w:rPr>
                <w:rFonts w:ascii="宋体" w:hAnsi="宋体" w:cs="宋体"/>
                <w:color w:val="000000"/>
                <w:kern w:val="0"/>
                <w:sz w:val="18"/>
                <w:szCs w:val="18"/>
              </w:rPr>
              <w:t>1</w:t>
            </w:r>
            <w:r>
              <w:rPr>
                <w:rFonts w:ascii="宋体" w:hAnsi="宋体" w:cs="宋体" w:hint="eastAsia"/>
                <w:color w:val="000000"/>
                <w:kern w:val="0"/>
                <w:sz w:val="18"/>
                <w:szCs w:val="18"/>
              </w:rPr>
              <w:t>项甲级资质</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675"/>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无甲级资质，获得</w:t>
            </w:r>
            <w:r>
              <w:rPr>
                <w:rFonts w:ascii="宋体" w:hAnsi="宋体" w:cs="宋体"/>
                <w:color w:val="000000"/>
                <w:kern w:val="0"/>
                <w:sz w:val="18"/>
                <w:szCs w:val="18"/>
              </w:rPr>
              <w:t>2</w:t>
            </w:r>
            <w:r>
              <w:rPr>
                <w:rFonts w:ascii="宋体" w:hAnsi="宋体" w:cs="宋体" w:hint="eastAsia"/>
                <w:color w:val="000000"/>
                <w:kern w:val="0"/>
                <w:sz w:val="18"/>
                <w:szCs w:val="18"/>
              </w:rPr>
              <w:t>个及以上乙级资质</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675"/>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无甲级资质，获得</w:t>
            </w:r>
            <w:r>
              <w:rPr>
                <w:rFonts w:ascii="宋体" w:hAnsi="宋体" w:cs="宋体"/>
                <w:color w:val="000000"/>
                <w:kern w:val="0"/>
                <w:sz w:val="18"/>
                <w:szCs w:val="18"/>
              </w:rPr>
              <w:t>1</w:t>
            </w:r>
            <w:r>
              <w:rPr>
                <w:rFonts w:ascii="宋体" w:hAnsi="宋体" w:cs="宋体" w:hint="eastAsia"/>
                <w:color w:val="000000"/>
                <w:kern w:val="0"/>
                <w:sz w:val="18"/>
                <w:szCs w:val="18"/>
              </w:rPr>
              <w:t>项乙级资质</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4</w:t>
            </w:r>
          </w:p>
        </w:tc>
      </w:tr>
      <w:tr w:rsidR="00420259" w:rsidTr="00B72082">
        <w:trPr>
          <w:trHeight w:val="675"/>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无甲级和乙级资质，获得</w:t>
            </w:r>
            <w:r>
              <w:rPr>
                <w:rFonts w:ascii="宋体" w:hAnsi="宋体" w:cs="宋体"/>
                <w:color w:val="000000"/>
                <w:kern w:val="0"/>
                <w:sz w:val="18"/>
                <w:szCs w:val="18"/>
              </w:rPr>
              <w:t>2</w:t>
            </w:r>
            <w:r>
              <w:rPr>
                <w:rFonts w:ascii="宋体" w:hAnsi="宋体" w:cs="宋体" w:hint="eastAsia"/>
                <w:color w:val="000000"/>
                <w:kern w:val="0"/>
                <w:sz w:val="18"/>
                <w:szCs w:val="18"/>
              </w:rPr>
              <w:t>个以上暂定资质</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w:t>
            </w:r>
          </w:p>
        </w:tc>
      </w:tr>
      <w:tr w:rsidR="00420259" w:rsidTr="00B72082">
        <w:trPr>
          <w:trHeight w:val="1005"/>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仅有</w:t>
            </w:r>
            <w:r>
              <w:rPr>
                <w:rFonts w:ascii="宋体" w:hAnsi="宋体" w:cs="宋体"/>
                <w:color w:val="000000"/>
                <w:kern w:val="0"/>
                <w:sz w:val="18"/>
                <w:szCs w:val="18"/>
              </w:rPr>
              <w:t>1</w:t>
            </w:r>
            <w:r>
              <w:rPr>
                <w:rFonts w:ascii="宋体" w:hAnsi="宋体" w:cs="宋体" w:hint="eastAsia"/>
                <w:color w:val="000000"/>
                <w:kern w:val="0"/>
                <w:sz w:val="18"/>
                <w:szCs w:val="18"/>
              </w:rPr>
              <w:t>个暂定级（或仅有一个预乙级资质）</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经营年限</w:t>
            </w:r>
          </w:p>
        </w:tc>
        <w:tc>
          <w:tcPr>
            <w:tcW w:w="829"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20%</w:t>
            </w:r>
          </w:p>
        </w:tc>
        <w:tc>
          <w:tcPr>
            <w:tcW w:w="1832"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招标代理机构存续</w:t>
            </w:r>
            <w:r>
              <w:rPr>
                <w:rFonts w:ascii="宋体" w:hAnsi="宋体" w:cs="宋体" w:hint="eastAsia"/>
                <w:color w:val="000000"/>
                <w:kern w:val="0"/>
                <w:sz w:val="18"/>
                <w:szCs w:val="18"/>
              </w:rPr>
              <w:lastRenderedPageBreak/>
              <w:t>时间长度在一定程度上反映了其对市场的掌控能力和行业经验的丰富性。</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lastRenderedPageBreak/>
              <w:t>15年以上</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8</w:t>
            </w:r>
            <w:r>
              <w:rPr>
                <w:rFonts w:ascii="宋体" w:hAnsi="宋体" w:cs="宋体"/>
                <w:color w:val="000000"/>
                <w:kern w:val="0"/>
                <w:sz w:val="18"/>
                <w:szCs w:val="18"/>
              </w:rPr>
              <w:t>~</w:t>
            </w:r>
            <w:r>
              <w:rPr>
                <w:rFonts w:ascii="宋体" w:hAnsi="宋体" w:cs="宋体" w:hint="eastAsia"/>
                <w:color w:val="000000"/>
                <w:kern w:val="0"/>
                <w:sz w:val="18"/>
                <w:szCs w:val="18"/>
              </w:rPr>
              <w:t>15年</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w:t>
            </w:r>
            <w:r>
              <w:rPr>
                <w:rFonts w:ascii="宋体" w:hAnsi="宋体" w:cs="宋体" w:hint="eastAsia"/>
                <w:color w:val="000000"/>
                <w:kern w:val="0"/>
                <w:sz w:val="18"/>
                <w:szCs w:val="18"/>
              </w:rPr>
              <w:t>8年</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4</w:t>
            </w:r>
          </w:p>
        </w:tc>
      </w:tr>
      <w:tr w:rsidR="00420259" w:rsidTr="00B72082">
        <w:trPr>
          <w:trHeight w:val="537"/>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3年以内</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近两年有效招标额</w:t>
            </w:r>
            <w:r>
              <w:rPr>
                <w:rFonts w:ascii="宋体" w:hAnsi="宋体" w:cs="宋体"/>
                <w:color w:val="000000"/>
                <w:kern w:val="0"/>
                <w:sz w:val="18"/>
                <w:szCs w:val="18"/>
              </w:rPr>
              <w:t>/</w:t>
            </w:r>
            <w:r>
              <w:rPr>
                <w:rFonts w:ascii="宋体" w:hAnsi="宋体" w:cs="宋体" w:hint="eastAsia"/>
                <w:color w:val="000000"/>
                <w:kern w:val="0"/>
                <w:sz w:val="18"/>
                <w:szCs w:val="18"/>
              </w:rPr>
              <w:t>项目数量（招标业绩）</w:t>
            </w:r>
          </w:p>
        </w:tc>
        <w:tc>
          <w:tcPr>
            <w:tcW w:w="829"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70%</w:t>
            </w:r>
          </w:p>
        </w:tc>
        <w:tc>
          <w:tcPr>
            <w:tcW w:w="1832"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招标代理机构近两年有效招标额或项目数量一定程度上反映了招标代理机构的业内竞争实力。</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35亿元以上或项目数量260个以上</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45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25亿元～35亿元或项目数量180～26</w:t>
            </w:r>
            <w:r>
              <w:rPr>
                <w:rFonts w:ascii="宋体" w:hAnsi="宋体" w:cs="宋体"/>
                <w:color w:val="000000"/>
                <w:kern w:val="0"/>
                <w:sz w:val="18"/>
                <w:szCs w:val="18"/>
              </w:rPr>
              <w:t>0</w:t>
            </w:r>
            <w:r>
              <w:rPr>
                <w:rFonts w:ascii="宋体" w:hAnsi="宋体" w:cs="宋体" w:hint="eastAsia"/>
                <w:color w:val="000000"/>
                <w:kern w:val="0"/>
                <w:sz w:val="18"/>
                <w:szCs w:val="18"/>
              </w:rPr>
              <w:t>个</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45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15亿元～25亿元或项目数量</w:t>
            </w:r>
            <w:r>
              <w:rPr>
                <w:rFonts w:ascii="宋体" w:hAnsi="宋体" w:cs="宋体"/>
                <w:color w:val="000000"/>
                <w:kern w:val="0"/>
                <w:sz w:val="18"/>
                <w:szCs w:val="18"/>
              </w:rPr>
              <w:t>1</w:t>
            </w:r>
            <w:r>
              <w:rPr>
                <w:rFonts w:ascii="宋体" w:hAnsi="宋体" w:cs="宋体" w:hint="eastAsia"/>
                <w:color w:val="000000"/>
                <w:kern w:val="0"/>
                <w:sz w:val="18"/>
                <w:szCs w:val="18"/>
              </w:rPr>
              <w:t>30～18</w:t>
            </w:r>
            <w:r>
              <w:rPr>
                <w:rFonts w:ascii="宋体" w:hAnsi="宋体" w:cs="宋体"/>
                <w:color w:val="000000"/>
                <w:kern w:val="0"/>
                <w:sz w:val="18"/>
                <w:szCs w:val="18"/>
              </w:rPr>
              <w:t>0</w:t>
            </w:r>
            <w:r>
              <w:rPr>
                <w:rFonts w:ascii="宋体" w:hAnsi="宋体" w:cs="宋体" w:hint="eastAsia"/>
                <w:color w:val="000000"/>
                <w:kern w:val="0"/>
                <w:sz w:val="18"/>
                <w:szCs w:val="18"/>
              </w:rPr>
              <w:t>个</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45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left w:val="single" w:sz="4" w:space="0" w:color="auto"/>
              <w:bottom w:val="single" w:sz="4" w:space="0" w:color="000000"/>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15亿元以下且项目数量少于</w:t>
            </w:r>
            <w:r>
              <w:rPr>
                <w:rFonts w:ascii="宋体" w:hAnsi="宋体" w:cs="宋体"/>
                <w:color w:val="000000"/>
                <w:kern w:val="0"/>
                <w:sz w:val="18"/>
                <w:szCs w:val="18"/>
              </w:rPr>
              <w:t>1</w:t>
            </w:r>
            <w:r>
              <w:rPr>
                <w:rFonts w:ascii="宋体" w:hAnsi="宋体" w:cs="宋体" w:hint="eastAsia"/>
                <w:color w:val="000000"/>
                <w:kern w:val="0"/>
                <w:sz w:val="18"/>
                <w:szCs w:val="18"/>
              </w:rPr>
              <w:t>3</w:t>
            </w:r>
            <w:r>
              <w:rPr>
                <w:rFonts w:ascii="宋体" w:hAnsi="宋体" w:cs="宋体"/>
                <w:color w:val="000000"/>
                <w:kern w:val="0"/>
                <w:sz w:val="18"/>
                <w:szCs w:val="18"/>
              </w:rPr>
              <w:t>0</w:t>
            </w:r>
            <w:r>
              <w:rPr>
                <w:rFonts w:ascii="宋体" w:hAnsi="宋体" w:cs="宋体" w:hint="eastAsia"/>
                <w:color w:val="000000"/>
                <w:kern w:val="0"/>
                <w:sz w:val="18"/>
                <w:szCs w:val="18"/>
              </w:rPr>
              <w:t>个</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4</w:t>
            </w:r>
          </w:p>
        </w:tc>
      </w:tr>
      <w:tr w:rsidR="00420259" w:rsidTr="00B72082">
        <w:trPr>
          <w:trHeight w:val="2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人员状况</w:t>
            </w:r>
          </w:p>
        </w:tc>
        <w:tc>
          <w:tcPr>
            <w:tcW w:w="549"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40%</w:t>
            </w:r>
          </w:p>
        </w:tc>
        <w:tc>
          <w:tcPr>
            <w:tcW w:w="974"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本科以上人员比例</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15</w:t>
            </w:r>
            <w:r>
              <w:rPr>
                <w:rFonts w:ascii="宋体" w:hAnsi="宋体" w:cs="宋体"/>
                <w:color w:val="000000"/>
                <w:kern w:val="0"/>
                <w:sz w:val="18"/>
                <w:szCs w:val="18"/>
              </w:rPr>
              <w:t>%</w:t>
            </w:r>
          </w:p>
        </w:tc>
        <w:tc>
          <w:tcPr>
            <w:tcW w:w="1832"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通过对招标代理机构本科以上人员占比分析，考核招标代理机构人员教育水平高低。</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7</w:t>
            </w:r>
            <w:r>
              <w:rPr>
                <w:rFonts w:ascii="宋体" w:hAnsi="宋体" w:cs="宋体"/>
                <w:color w:val="000000"/>
                <w:kern w:val="0"/>
                <w:sz w:val="18"/>
                <w:szCs w:val="18"/>
              </w:rPr>
              <w:t>0%</w:t>
            </w:r>
            <w:r>
              <w:rPr>
                <w:rFonts w:ascii="宋体" w:hAnsi="宋体" w:cs="宋体" w:hint="eastAsia"/>
                <w:color w:val="000000"/>
                <w:kern w:val="0"/>
                <w:sz w:val="18"/>
                <w:szCs w:val="18"/>
              </w:rPr>
              <w:t>以上</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0%~</w:t>
            </w:r>
            <w:r>
              <w:rPr>
                <w:rFonts w:ascii="宋体" w:hAnsi="宋体" w:cs="宋体" w:hint="eastAsia"/>
                <w:color w:val="000000"/>
                <w:kern w:val="0"/>
                <w:sz w:val="18"/>
                <w:szCs w:val="18"/>
              </w:rPr>
              <w:t>7</w:t>
            </w:r>
            <w:r>
              <w:rPr>
                <w:rFonts w:ascii="宋体" w:hAnsi="宋体" w:cs="宋体"/>
                <w:color w:val="000000"/>
                <w:kern w:val="0"/>
                <w:sz w:val="18"/>
                <w:szCs w:val="18"/>
              </w:rPr>
              <w:t>0%</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2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15</w:t>
            </w:r>
            <w:r>
              <w:rPr>
                <w:rFonts w:ascii="宋体" w:hAnsi="宋体" w:cs="宋体"/>
                <w:color w:val="000000"/>
                <w:kern w:val="0"/>
                <w:sz w:val="18"/>
                <w:szCs w:val="18"/>
              </w:rPr>
              <w:t>%~</w:t>
            </w:r>
            <w:r>
              <w:rPr>
                <w:rFonts w:ascii="宋体" w:hAnsi="宋体" w:cs="宋体" w:hint="eastAsia"/>
                <w:color w:val="000000"/>
                <w:kern w:val="0"/>
                <w:sz w:val="18"/>
                <w:szCs w:val="18"/>
              </w:rPr>
              <w:t>4</w:t>
            </w:r>
            <w:r>
              <w:rPr>
                <w:rFonts w:ascii="宋体" w:hAnsi="宋体" w:cs="宋体"/>
                <w:color w:val="000000"/>
                <w:kern w:val="0"/>
                <w:sz w:val="18"/>
                <w:szCs w:val="18"/>
              </w:rPr>
              <w:t>0%</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2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以下</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职业技术人员比例</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20</w:t>
            </w:r>
            <w:r>
              <w:rPr>
                <w:rFonts w:ascii="宋体" w:hAnsi="宋体" w:cs="宋体"/>
                <w:color w:val="000000"/>
                <w:kern w:val="0"/>
                <w:sz w:val="18"/>
                <w:szCs w:val="18"/>
              </w:rPr>
              <w:t>%</w:t>
            </w:r>
          </w:p>
        </w:tc>
        <w:tc>
          <w:tcPr>
            <w:tcW w:w="1832"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通过对招标代理机构招投标相关专业技术人员占比分析，考核招标代理机构专业技术水平高低。</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35%</w:t>
            </w:r>
            <w:r>
              <w:rPr>
                <w:rFonts w:ascii="宋体" w:hAnsi="宋体" w:cs="宋体" w:hint="eastAsia"/>
                <w:color w:val="000000"/>
                <w:kern w:val="0"/>
                <w:sz w:val="18"/>
                <w:szCs w:val="18"/>
              </w:rPr>
              <w:t>以上</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30%~35%</w:t>
            </w:r>
            <w:r>
              <w:rPr>
                <w:rFonts w:ascii="宋体" w:hAnsi="宋体" w:cs="宋体" w:hint="eastAsia"/>
                <w:color w:val="000000"/>
                <w:kern w:val="0"/>
                <w:sz w:val="18"/>
                <w:szCs w:val="18"/>
              </w:rPr>
              <w:t>（含）</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25%~30%</w:t>
            </w:r>
            <w:r>
              <w:rPr>
                <w:rFonts w:ascii="宋体" w:hAnsi="宋体" w:cs="宋体" w:hint="eastAsia"/>
                <w:color w:val="000000"/>
                <w:kern w:val="0"/>
                <w:sz w:val="18"/>
                <w:szCs w:val="18"/>
              </w:rPr>
              <w:t>（含）</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493"/>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r>
              <w:rPr>
                <w:rFonts w:ascii="宋体" w:hAnsi="宋体" w:cs="宋体" w:hint="eastAsia"/>
                <w:color w:val="000000"/>
                <w:kern w:val="0"/>
                <w:sz w:val="18"/>
                <w:szCs w:val="18"/>
              </w:rPr>
              <w:t>以下</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4</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val="restart"/>
            <w:tcBorders>
              <w:top w:val="nil"/>
              <w:left w:val="single" w:sz="4" w:space="0" w:color="auto"/>
              <w:bottom w:val="single" w:sz="4" w:space="0" w:color="000000"/>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中级及中级以上职称人员比例</w:t>
            </w:r>
          </w:p>
        </w:tc>
        <w:tc>
          <w:tcPr>
            <w:tcW w:w="829"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20</w:t>
            </w:r>
            <w:r>
              <w:rPr>
                <w:rFonts w:ascii="宋体" w:hAnsi="宋体" w:cs="宋体"/>
                <w:color w:val="000000"/>
                <w:kern w:val="0"/>
                <w:sz w:val="18"/>
                <w:szCs w:val="18"/>
              </w:rPr>
              <w:t>%</w:t>
            </w:r>
          </w:p>
        </w:tc>
        <w:tc>
          <w:tcPr>
            <w:tcW w:w="1832"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通过对招标代理机构中级以上职称人员占比分析，考核招标代理机构人员综合素质。</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45</w:t>
            </w:r>
            <w:r>
              <w:rPr>
                <w:rFonts w:ascii="宋体" w:hAnsi="宋体" w:cs="宋体"/>
                <w:color w:val="000000"/>
                <w:kern w:val="0"/>
                <w:sz w:val="18"/>
                <w:szCs w:val="18"/>
              </w:rPr>
              <w:t>%</w:t>
            </w:r>
            <w:r>
              <w:rPr>
                <w:rFonts w:ascii="宋体" w:hAnsi="宋体" w:cs="宋体" w:hint="eastAsia"/>
                <w:color w:val="000000"/>
                <w:kern w:val="0"/>
                <w:sz w:val="18"/>
                <w:szCs w:val="18"/>
              </w:rPr>
              <w:t>以上</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000000"/>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30</w:t>
            </w:r>
            <w:r>
              <w:rPr>
                <w:rFonts w:ascii="宋体" w:hAnsi="宋体" w:cs="宋体"/>
                <w:color w:val="000000"/>
                <w:kern w:val="0"/>
                <w:sz w:val="18"/>
                <w:szCs w:val="18"/>
              </w:rPr>
              <w:t>%~50%</w:t>
            </w:r>
            <w:r>
              <w:rPr>
                <w:rFonts w:ascii="宋体" w:hAnsi="宋体" w:cs="宋体" w:hint="eastAsia"/>
                <w:color w:val="000000"/>
                <w:kern w:val="0"/>
                <w:sz w:val="18"/>
                <w:szCs w:val="18"/>
              </w:rPr>
              <w:t>（含）</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000000"/>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20</w:t>
            </w:r>
            <w:r>
              <w:rPr>
                <w:rFonts w:ascii="宋体" w:hAnsi="宋体" w:cs="宋体"/>
                <w:color w:val="000000"/>
                <w:kern w:val="0"/>
                <w:sz w:val="18"/>
                <w:szCs w:val="18"/>
              </w:rPr>
              <w:t>%~</w:t>
            </w:r>
            <w:r>
              <w:rPr>
                <w:rFonts w:ascii="宋体" w:hAnsi="宋体" w:cs="宋体" w:hint="eastAsia"/>
                <w:color w:val="000000"/>
                <w:kern w:val="0"/>
                <w:sz w:val="18"/>
                <w:szCs w:val="18"/>
              </w:rPr>
              <w:t>35</w:t>
            </w:r>
            <w:r>
              <w:rPr>
                <w:rFonts w:ascii="宋体" w:hAnsi="宋体" w:cs="宋体"/>
                <w:color w:val="000000"/>
                <w:kern w:val="0"/>
                <w:sz w:val="18"/>
                <w:szCs w:val="18"/>
              </w:rPr>
              <w:t>%</w:t>
            </w:r>
            <w:r>
              <w:rPr>
                <w:rFonts w:ascii="宋体" w:hAnsi="宋体" w:cs="宋体" w:hint="eastAsia"/>
                <w:color w:val="000000"/>
                <w:kern w:val="0"/>
                <w:sz w:val="18"/>
                <w:szCs w:val="18"/>
              </w:rPr>
              <w:t>（含）</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nil"/>
              <w:left w:val="single" w:sz="4" w:space="0" w:color="auto"/>
              <w:bottom w:val="single" w:sz="4" w:space="0" w:color="000000"/>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20</w:t>
            </w:r>
            <w:r>
              <w:rPr>
                <w:rFonts w:ascii="宋体" w:hAnsi="宋体" w:cs="宋体"/>
                <w:color w:val="000000"/>
                <w:kern w:val="0"/>
                <w:sz w:val="18"/>
                <w:szCs w:val="18"/>
              </w:rPr>
              <w:t>%</w:t>
            </w:r>
            <w:r>
              <w:rPr>
                <w:rFonts w:ascii="宋体" w:hAnsi="宋体" w:cs="宋体" w:hint="eastAsia"/>
                <w:color w:val="000000"/>
                <w:kern w:val="0"/>
                <w:sz w:val="18"/>
                <w:szCs w:val="18"/>
              </w:rPr>
              <w:t>以下</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4</w:t>
            </w:r>
          </w:p>
        </w:tc>
      </w:tr>
      <w:tr w:rsidR="00420259" w:rsidTr="00B72082">
        <w:trPr>
          <w:trHeight w:val="465"/>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从事本行业</w:t>
            </w:r>
            <w:r>
              <w:rPr>
                <w:rFonts w:ascii="宋体" w:hAnsi="宋体" w:cs="宋体"/>
                <w:color w:val="000000"/>
                <w:kern w:val="0"/>
                <w:sz w:val="18"/>
                <w:szCs w:val="18"/>
              </w:rPr>
              <w:t>3</w:t>
            </w:r>
            <w:r>
              <w:rPr>
                <w:rFonts w:ascii="宋体" w:hAnsi="宋体" w:cs="宋体" w:hint="eastAsia"/>
                <w:color w:val="000000"/>
                <w:kern w:val="0"/>
                <w:sz w:val="18"/>
                <w:szCs w:val="18"/>
              </w:rPr>
              <w:t>年以上人员比例</w:t>
            </w:r>
          </w:p>
        </w:tc>
        <w:tc>
          <w:tcPr>
            <w:tcW w:w="829"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15</w:t>
            </w:r>
            <w:r>
              <w:rPr>
                <w:rFonts w:ascii="宋体" w:hAnsi="宋体" w:cs="宋体"/>
                <w:color w:val="000000"/>
                <w:kern w:val="0"/>
                <w:sz w:val="18"/>
                <w:szCs w:val="18"/>
              </w:rPr>
              <w:t>%</w:t>
            </w:r>
          </w:p>
        </w:tc>
        <w:tc>
          <w:tcPr>
            <w:tcW w:w="1832"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通过对招标代理机构从事本行业</w:t>
            </w:r>
            <w:r>
              <w:rPr>
                <w:rFonts w:ascii="宋体" w:hAnsi="宋体" w:cs="宋体"/>
                <w:color w:val="000000"/>
                <w:kern w:val="0"/>
                <w:sz w:val="18"/>
                <w:szCs w:val="18"/>
              </w:rPr>
              <w:t>3</w:t>
            </w:r>
            <w:r>
              <w:rPr>
                <w:rFonts w:ascii="宋体" w:hAnsi="宋体" w:cs="宋体" w:hint="eastAsia"/>
                <w:color w:val="000000"/>
                <w:kern w:val="0"/>
                <w:sz w:val="18"/>
                <w:szCs w:val="18"/>
              </w:rPr>
              <w:t>年以上人员占比分析，考核招标代理机构专业人员稳定性。</w:t>
            </w: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7</w:t>
            </w:r>
            <w:r>
              <w:rPr>
                <w:rFonts w:ascii="宋体" w:hAnsi="宋体" w:cs="宋体"/>
                <w:color w:val="000000"/>
                <w:kern w:val="0"/>
                <w:sz w:val="18"/>
                <w:szCs w:val="18"/>
              </w:rPr>
              <w:t>0%</w:t>
            </w:r>
            <w:r>
              <w:rPr>
                <w:rFonts w:ascii="宋体" w:hAnsi="宋体" w:cs="宋体" w:hint="eastAsia"/>
                <w:color w:val="000000"/>
                <w:kern w:val="0"/>
                <w:sz w:val="18"/>
                <w:szCs w:val="18"/>
              </w:rPr>
              <w:t>以上</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0%~</w:t>
            </w:r>
            <w:r>
              <w:rPr>
                <w:rFonts w:ascii="宋体" w:hAnsi="宋体" w:cs="宋体" w:hint="eastAsia"/>
                <w:color w:val="000000"/>
                <w:kern w:val="0"/>
                <w:sz w:val="18"/>
                <w:szCs w:val="18"/>
              </w:rPr>
              <w:t>7</w:t>
            </w:r>
            <w:r>
              <w:rPr>
                <w:rFonts w:ascii="宋体" w:hAnsi="宋体" w:cs="宋体"/>
                <w:color w:val="000000"/>
                <w:kern w:val="0"/>
                <w:sz w:val="18"/>
                <w:szCs w:val="18"/>
              </w:rPr>
              <w:t>0%</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270"/>
        </w:trPr>
        <w:tc>
          <w:tcPr>
            <w:tcW w:w="69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w:t>
            </w:r>
            <w:r>
              <w:rPr>
                <w:rFonts w:ascii="宋体" w:hAnsi="宋体" w:cs="宋体" w:hint="eastAsia"/>
                <w:color w:val="000000"/>
                <w:kern w:val="0"/>
                <w:sz w:val="18"/>
                <w:szCs w:val="18"/>
              </w:rPr>
              <w:t>4</w:t>
            </w:r>
            <w:r>
              <w:rPr>
                <w:rFonts w:ascii="宋体" w:hAnsi="宋体" w:cs="宋体"/>
                <w:color w:val="000000"/>
                <w:kern w:val="0"/>
                <w:sz w:val="18"/>
                <w:szCs w:val="18"/>
              </w:rPr>
              <w:t>0%</w:t>
            </w:r>
          </w:p>
        </w:tc>
        <w:tc>
          <w:tcPr>
            <w:tcW w:w="157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270"/>
        </w:trPr>
        <w:tc>
          <w:tcPr>
            <w:tcW w:w="691" w:type="dxa"/>
            <w:vMerge/>
            <w:tcBorders>
              <w:top w:val="nil"/>
              <w:left w:val="single" w:sz="4" w:space="0" w:color="auto"/>
              <w:bottom w:val="nil"/>
              <w:right w:val="single" w:sz="4" w:space="0" w:color="auto"/>
            </w:tcBorders>
            <w:vAlign w:val="center"/>
          </w:tcPr>
          <w:p w:rsidR="00420259" w:rsidRDefault="00420259" w:rsidP="00B72082">
            <w:pPr>
              <w:rPr>
                <w:rFonts w:ascii="宋体" w:cs="宋体"/>
                <w:color w:val="000000"/>
                <w:kern w:val="0"/>
                <w:sz w:val="18"/>
                <w:szCs w:val="18"/>
              </w:rPr>
            </w:pPr>
          </w:p>
        </w:tc>
        <w:tc>
          <w:tcPr>
            <w:tcW w:w="725" w:type="dxa"/>
            <w:vMerge/>
            <w:tcBorders>
              <w:top w:val="nil"/>
              <w:left w:val="single" w:sz="4" w:space="0" w:color="auto"/>
              <w:bottom w:val="nil"/>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以下</w:t>
            </w:r>
          </w:p>
        </w:tc>
        <w:tc>
          <w:tcPr>
            <w:tcW w:w="1578"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w:t>
            </w:r>
          </w:p>
        </w:tc>
      </w:tr>
      <w:tr w:rsidR="00420259" w:rsidTr="00B72082">
        <w:trPr>
          <w:trHeight w:val="270"/>
        </w:trPr>
        <w:tc>
          <w:tcPr>
            <w:tcW w:w="691" w:type="dxa"/>
            <w:tcBorders>
              <w:top w:val="nil"/>
              <w:left w:val="single" w:sz="4" w:space="0" w:color="auto"/>
              <w:bottom w:val="nil"/>
              <w:right w:val="single" w:sz="4" w:space="0" w:color="auto"/>
            </w:tcBorders>
            <w:vAlign w:val="center"/>
          </w:tcPr>
          <w:p w:rsidR="00420259" w:rsidRDefault="00420259" w:rsidP="00B72082">
            <w:pPr>
              <w:rPr>
                <w:rFonts w:ascii="宋体" w:cs="宋体"/>
                <w:color w:val="000000"/>
                <w:kern w:val="0"/>
                <w:sz w:val="18"/>
                <w:szCs w:val="18"/>
              </w:rPr>
            </w:pPr>
          </w:p>
        </w:tc>
        <w:tc>
          <w:tcPr>
            <w:tcW w:w="725" w:type="dxa"/>
            <w:tcBorders>
              <w:top w:val="nil"/>
              <w:left w:val="single" w:sz="4" w:space="0" w:color="auto"/>
              <w:bottom w:val="nil"/>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hint="eastAsia"/>
                <w:color w:val="000000"/>
                <w:kern w:val="0"/>
                <w:sz w:val="18"/>
                <w:szCs w:val="18"/>
              </w:rPr>
              <w:t>人员资源管理</w:t>
            </w:r>
          </w:p>
        </w:tc>
        <w:tc>
          <w:tcPr>
            <w:tcW w:w="829"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hint="eastAsia"/>
                <w:color w:val="000000"/>
                <w:kern w:val="0"/>
                <w:sz w:val="18"/>
                <w:szCs w:val="18"/>
              </w:rPr>
              <w:t>20%</w:t>
            </w:r>
          </w:p>
        </w:tc>
        <w:tc>
          <w:tcPr>
            <w:tcW w:w="1832"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hint="eastAsia"/>
                <w:color w:val="000000"/>
                <w:kern w:val="0"/>
                <w:sz w:val="18"/>
                <w:szCs w:val="18"/>
              </w:rPr>
              <w:t>按照劳动法，依法签订员工合同、缴纳社会保险等。</w:t>
            </w:r>
          </w:p>
        </w:tc>
        <w:tc>
          <w:tcPr>
            <w:tcW w:w="2196"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按时签订，按时缴纳</w:t>
            </w:r>
          </w:p>
        </w:tc>
        <w:tc>
          <w:tcPr>
            <w:tcW w:w="1578"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10</w:t>
            </w:r>
          </w:p>
        </w:tc>
      </w:tr>
      <w:tr w:rsidR="00420259" w:rsidTr="00B72082">
        <w:trPr>
          <w:trHeight w:val="270"/>
        </w:trPr>
        <w:tc>
          <w:tcPr>
            <w:tcW w:w="691" w:type="dxa"/>
            <w:tcBorders>
              <w:top w:val="nil"/>
              <w:left w:val="single" w:sz="4" w:space="0" w:color="auto"/>
              <w:bottom w:val="nil"/>
              <w:right w:val="single" w:sz="4" w:space="0" w:color="auto"/>
            </w:tcBorders>
            <w:vAlign w:val="center"/>
          </w:tcPr>
          <w:p w:rsidR="00420259" w:rsidRDefault="00420259" w:rsidP="00B72082">
            <w:pPr>
              <w:rPr>
                <w:rFonts w:ascii="宋体" w:cs="宋体"/>
                <w:color w:val="000000"/>
                <w:kern w:val="0"/>
                <w:sz w:val="18"/>
                <w:szCs w:val="18"/>
              </w:rPr>
            </w:pPr>
          </w:p>
        </w:tc>
        <w:tc>
          <w:tcPr>
            <w:tcW w:w="725" w:type="dxa"/>
            <w:tcBorders>
              <w:top w:val="nil"/>
              <w:left w:val="single" w:sz="4" w:space="0" w:color="auto"/>
              <w:bottom w:val="nil"/>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未按时签订合同或出现劳务纠纷</w:t>
            </w:r>
          </w:p>
        </w:tc>
        <w:tc>
          <w:tcPr>
            <w:tcW w:w="1578"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0</w:t>
            </w:r>
          </w:p>
        </w:tc>
      </w:tr>
      <w:tr w:rsidR="00420259" w:rsidTr="00B72082">
        <w:trPr>
          <w:trHeight w:val="270"/>
        </w:trPr>
        <w:tc>
          <w:tcPr>
            <w:tcW w:w="691" w:type="dxa"/>
            <w:tcBorders>
              <w:top w:val="nil"/>
              <w:left w:val="single" w:sz="4" w:space="0" w:color="auto"/>
              <w:bottom w:val="nil"/>
              <w:right w:val="single" w:sz="4" w:space="0" w:color="auto"/>
            </w:tcBorders>
            <w:vAlign w:val="center"/>
          </w:tcPr>
          <w:p w:rsidR="00420259" w:rsidRDefault="00420259" w:rsidP="00B72082">
            <w:pPr>
              <w:rPr>
                <w:rFonts w:ascii="宋体" w:cs="宋体"/>
                <w:color w:val="000000"/>
                <w:kern w:val="0"/>
                <w:sz w:val="18"/>
                <w:szCs w:val="18"/>
              </w:rPr>
            </w:pPr>
          </w:p>
        </w:tc>
        <w:tc>
          <w:tcPr>
            <w:tcW w:w="725" w:type="dxa"/>
            <w:tcBorders>
              <w:top w:val="nil"/>
              <w:left w:val="single" w:sz="4" w:space="0" w:color="auto"/>
              <w:bottom w:val="nil"/>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人员的培训</w:t>
            </w:r>
          </w:p>
        </w:tc>
        <w:tc>
          <w:tcPr>
            <w:tcW w:w="829"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hint="eastAsia"/>
                <w:color w:val="000000"/>
                <w:kern w:val="0"/>
                <w:sz w:val="18"/>
                <w:szCs w:val="18"/>
              </w:rPr>
              <w:t>10%</w:t>
            </w:r>
          </w:p>
        </w:tc>
        <w:tc>
          <w:tcPr>
            <w:tcW w:w="1832"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hint="eastAsia"/>
                <w:color w:val="000000"/>
                <w:kern w:val="0"/>
                <w:sz w:val="18"/>
                <w:szCs w:val="18"/>
              </w:rPr>
              <w:t>员工的相关工作从业培训。</w:t>
            </w:r>
          </w:p>
        </w:tc>
        <w:tc>
          <w:tcPr>
            <w:tcW w:w="2196"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color w:val="000000"/>
                <w:kern w:val="0"/>
                <w:sz w:val="18"/>
                <w:szCs w:val="18"/>
              </w:rPr>
              <w:t>一年内有组织员工参加</w:t>
            </w:r>
            <w:r>
              <w:rPr>
                <w:rFonts w:ascii="宋体" w:hAnsi="宋体" w:cs="宋体" w:hint="eastAsia"/>
                <w:color w:val="000000"/>
                <w:kern w:val="0"/>
                <w:sz w:val="18"/>
                <w:szCs w:val="18"/>
              </w:rPr>
              <w:t>2次以上</w:t>
            </w:r>
          </w:p>
        </w:tc>
        <w:tc>
          <w:tcPr>
            <w:tcW w:w="1578"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10</w:t>
            </w:r>
          </w:p>
        </w:tc>
      </w:tr>
      <w:tr w:rsidR="00420259" w:rsidTr="00B72082">
        <w:trPr>
          <w:trHeight w:val="270"/>
        </w:trPr>
        <w:tc>
          <w:tcPr>
            <w:tcW w:w="691" w:type="dxa"/>
            <w:tcBorders>
              <w:top w:val="nil"/>
              <w:left w:val="single" w:sz="4" w:space="0" w:color="auto"/>
              <w:bottom w:val="nil"/>
              <w:right w:val="single" w:sz="4" w:space="0" w:color="auto"/>
            </w:tcBorders>
            <w:vAlign w:val="center"/>
          </w:tcPr>
          <w:p w:rsidR="00420259" w:rsidRDefault="00420259" w:rsidP="00B72082">
            <w:pPr>
              <w:rPr>
                <w:rFonts w:ascii="宋体" w:cs="宋体"/>
                <w:color w:val="000000"/>
                <w:kern w:val="0"/>
                <w:sz w:val="18"/>
                <w:szCs w:val="18"/>
              </w:rPr>
            </w:pPr>
          </w:p>
        </w:tc>
        <w:tc>
          <w:tcPr>
            <w:tcW w:w="725" w:type="dxa"/>
            <w:tcBorders>
              <w:top w:val="nil"/>
              <w:left w:val="single" w:sz="4" w:space="0" w:color="auto"/>
              <w:bottom w:val="nil"/>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color w:val="000000"/>
                <w:kern w:val="0"/>
                <w:sz w:val="18"/>
                <w:szCs w:val="18"/>
              </w:rPr>
              <w:t>一年内有组织员工参加</w:t>
            </w:r>
            <w:r>
              <w:rPr>
                <w:rFonts w:ascii="宋体" w:hAnsi="宋体" w:cs="宋体" w:hint="eastAsia"/>
                <w:color w:val="000000"/>
                <w:kern w:val="0"/>
                <w:sz w:val="18"/>
                <w:szCs w:val="18"/>
              </w:rPr>
              <w:t>2次（含）以下</w:t>
            </w:r>
          </w:p>
        </w:tc>
        <w:tc>
          <w:tcPr>
            <w:tcW w:w="1578"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6</w:t>
            </w:r>
          </w:p>
        </w:tc>
      </w:tr>
      <w:tr w:rsidR="00420259" w:rsidTr="00B72082">
        <w:trPr>
          <w:trHeight w:val="270"/>
        </w:trPr>
        <w:tc>
          <w:tcPr>
            <w:tcW w:w="691" w:type="dxa"/>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5" w:type="dxa"/>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0"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549"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974"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29"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32"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96"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color w:val="000000"/>
                <w:kern w:val="0"/>
                <w:sz w:val="18"/>
                <w:szCs w:val="18"/>
              </w:rPr>
              <w:t>无</w:t>
            </w:r>
          </w:p>
        </w:tc>
        <w:tc>
          <w:tcPr>
            <w:tcW w:w="1578"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0</w:t>
            </w:r>
          </w:p>
        </w:tc>
      </w:tr>
    </w:tbl>
    <w:p w:rsidR="00420259" w:rsidRDefault="00420259" w:rsidP="00420259">
      <w:pPr>
        <w:rPr>
          <w:rFonts w:ascii="黑体" w:eastAsia="黑体" w:hAnsi="宋体"/>
          <w:b/>
          <w:bCs/>
          <w:color w:val="000000"/>
          <w:sz w:val="24"/>
        </w:rPr>
      </w:pPr>
    </w:p>
    <w:p w:rsidR="00420259" w:rsidRDefault="00420259" w:rsidP="00420259">
      <w:pPr>
        <w:rPr>
          <w:rFonts w:ascii="黑体" w:eastAsia="黑体" w:hAnsi="宋体"/>
          <w:b/>
          <w:bCs/>
          <w:color w:val="000000"/>
          <w:sz w:val="24"/>
        </w:rPr>
      </w:pPr>
      <w:r>
        <w:rPr>
          <w:rFonts w:ascii="黑体" w:eastAsia="黑体" w:hAnsi="宋体" w:hint="eastAsia"/>
          <w:b/>
          <w:bCs/>
          <w:color w:val="000000"/>
          <w:sz w:val="24"/>
        </w:rPr>
        <w:t>二、招标代理机构运营管理水平</w:t>
      </w:r>
    </w:p>
    <w:p w:rsidR="00420259" w:rsidRDefault="00420259" w:rsidP="00420259">
      <w:pPr>
        <w:rPr>
          <w:color w:val="000000"/>
        </w:rPr>
      </w:pPr>
      <w:r>
        <w:rPr>
          <w:rFonts w:hint="eastAsia"/>
          <w:color w:val="000000"/>
        </w:rPr>
        <w:t>招标代理机构运营管理水平主要考核受评招标代理机构治理结构合理性、规章制度建立情况、管理认证情况、高管情况、信息化建设情况和创新能力等六项。权重为</w:t>
      </w:r>
      <w:r>
        <w:rPr>
          <w:color w:val="000000"/>
        </w:rPr>
        <w:t>25%</w:t>
      </w:r>
      <w:r>
        <w:rPr>
          <w:rFonts w:hint="eastAsia"/>
          <w:color w:val="000000"/>
        </w:rPr>
        <w:t>。</w:t>
      </w:r>
    </w:p>
    <w:tbl>
      <w:tblPr>
        <w:tblW w:w="0" w:type="auto"/>
        <w:tblInd w:w="-601" w:type="dxa"/>
        <w:tblLayout w:type="fixed"/>
        <w:tblLook w:val="0000"/>
      </w:tblPr>
      <w:tblGrid>
        <w:gridCol w:w="717"/>
        <w:gridCol w:w="702"/>
        <w:gridCol w:w="711"/>
        <w:gridCol w:w="721"/>
        <w:gridCol w:w="1133"/>
        <w:gridCol w:w="694"/>
        <w:gridCol w:w="2281"/>
        <w:gridCol w:w="2115"/>
        <w:gridCol w:w="990"/>
      </w:tblGrid>
      <w:tr w:rsidR="00420259" w:rsidTr="00B72082">
        <w:trPr>
          <w:trHeight w:val="270"/>
        </w:trPr>
        <w:tc>
          <w:tcPr>
            <w:tcW w:w="1419"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lastRenderedPageBreak/>
              <w:t>一级指标</w:t>
            </w:r>
          </w:p>
        </w:tc>
        <w:tc>
          <w:tcPr>
            <w:tcW w:w="1432" w:type="dxa"/>
            <w:gridSpan w:val="2"/>
            <w:tcBorders>
              <w:top w:val="single" w:sz="4" w:space="0" w:color="auto"/>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二级指标</w:t>
            </w:r>
          </w:p>
        </w:tc>
        <w:tc>
          <w:tcPr>
            <w:tcW w:w="1827" w:type="dxa"/>
            <w:gridSpan w:val="2"/>
            <w:tcBorders>
              <w:top w:val="single" w:sz="4" w:space="0" w:color="auto"/>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三级指标</w:t>
            </w:r>
          </w:p>
        </w:tc>
        <w:tc>
          <w:tcPr>
            <w:tcW w:w="2281"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指标说明</w:t>
            </w:r>
          </w:p>
        </w:tc>
        <w:tc>
          <w:tcPr>
            <w:tcW w:w="3105" w:type="dxa"/>
            <w:gridSpan w:val="2"/>
            <w:vMerge w:val="restart"/>
            <w:tcBorders>
              <w:top w:val="single" w:sz="4" w:space="0" w:color="auto"/>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评价标准、评价方法和得分</w:t>
            </w:r>
          </w:p>
        </w:tc>
      </w:tr>
      <w:tr w:rsidR="00420259" w:rsidTr="00B72082">
        <w:trPr>
          <w:trHeight w:val="365"/>
        </w:trPr>
        <w:tc>
          <w:tcPr>
            <w:tcW w:w="717" w:type="dxa"/>
            <w:tcBorders>
              <w:top w:val="nil"/>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702"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权重</w:t>
            </w:r>
          </w:p>
        </w:tc>
        <w:tc>
          <w:tcPr>
            <w:tcW w:w="711"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721"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权重</w:t>
            </w:r>
          </w:p>
        </w:tc>
        <w:tc>
          <w:tcPr>
            <w:tcW w:w="1133"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694"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权重</w:t>
            </w:r>
          </w:p>
        </w:tc>
        <w:tc>
          <w:tcPr>
            <w:tcW w:w="2281"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b/>
                <w:bCs/>
                <w:color w:val="000000"/>
                <w:kern w:val="0"/>
                <w:sz w:val="18"/>
                <w:szCs w:val="18"/>
              </w:rPr>
            </w:pPr>
          </w:p>
        </w:tc>
        <w:tc>
          <w:tcPr>
            <w:tcW w:w="3105" w:type="dxa"/>
            <w:gridSpan w:val="2"/>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b/>
                <w:bCs/>
                <w:color w:val="000000"/>
                <w:kern w:val="0"/>
                <w:sz w:val="18"/>
                <w:szCs w:val="18"/>
              </w:rPr>
            </w:pPr>
          </w:p>
        </w:tc>
      </w:tr>
      <w:tr w:rsidR="00420259" w:rsidTr="00B72082">
        <w:trPr>
          <w:trHeight w:val="289"/>
        </w:trPr>
        <w:tc>
          <w:tcPr>
            <w:tcW w:w="717"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运营管理水平</w:t>
            </w:r>
          </w:p>
        </w:tc>
        <w:tc>
          <w:tcPr>
            <w:tcW w:w="702"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71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组织架构合理性</w:t>
            </w:r>
          </w:p>
        </w:tc>
        <w:tc>
          <w:tcPr>
            <w:tcW w:w="72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0</w:t>
            </w:r>
            <w:r>
              <w:rPr>
                <w:rFonts w:ascii="宋体" w:hAnsi="宋体" w:cs="宋体"/>
                <w:color w:val="000000"/>
                <w:kern w:val="0"/>
                <w:sz w:val="18"/>
                <w:szCs w:val="18"/>
              </w:rPr>
              <w:t>%</w:t>
            </w:r>
          </w:p>
        </w:tc>
        <w:tc>
          <w:tcPr>
            <w:tcW w:w="113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考核招标代理机构组织架构的设立是否合理有效。</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合理有效</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392"/>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较为合理</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392"/>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基本合理</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不够合理</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223"/>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规章制度建立情况</w:t>
            </w:r>
          </w:p>
        </w:tc>
        <w:tc>
          <w:tcPr>
            <w:tcW w:w="72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113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公司章程建立情况</w:t>
            </w:r>
          </w:p>
        </w:tc>
        <w:tc>
          <w:tcPr>
            <w:tcW w:w="69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15%</w:t>
            </w:r>
          </w:p>
        </w:tc>
        <w:tc>
          <w:tcPr>
            <w:tcW w:w="228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考核招标代理机构公司章程建立情况。</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已建立且较为完善</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327"/>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基本建立但尚不完善</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5</w:t>
            </w:r>
          </w:p>
        </w:tc>
      </w:tr>
      <w:tr w:rsidR="00420259" w:rsidTr="00B72082">
        <w:trPr>
          <w:trHeight w:val="133"/>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未建立</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257"/>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人事管理制度建立情况</w:t>
            </w:r>
          </w:p>
        </w:tc>
        <w:tc>
          <w:tcPr>
            <w:tcW w:w="69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15%</w:t>
            </w:r>
          </w:p>
        </w:tc>
        <w:tc>
          <w:tcPr>
            <w:tcW w:w="228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考核招标代理机构人事管理制度的建立情况。</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已建立且较为完善</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45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基本建立但尚不完善</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5</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未建立</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45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财务管理制度建立情况</w:t>
            </w:r>
          </w:p>
        </w:tc>
        <w:tc>
          <w:tcPr>
            <w:tcW w:w="69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c>
          <w:tcPr>
            <w:tcW w:w="228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考核招标代理机构财务管理制度的建立情况。</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已建立且较为完善</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45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基本建立但尚不完善</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5</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未建立</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32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项目管理制度建立情况</w:t>
            </w:r>
          </w:p>
        </w:tc>
        <w:tc>
          <w:tcPr>
            <w:tcW w:w="69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40%</w:t>
            </w:r>
          </w:p>
        </w:tc>
        <w:tc>
          <w:tcPr>
            <w:tcW w:w="228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考核招标代理机构项目管理制度（如业务流程管理制度、项目经理管理制度等）。</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已建立且较为完善</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409"/>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基本建立但尚不完善</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5</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未建立</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45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档案资料管理制度建立情况</w:t>
            </w:r>
          </w:p>
        </w:tc>
        <w:tc>
          <w:tcPr>
            <w:tcW w:w="69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20%</w:t>
            </w:r>
          </w:p>
        </w:tc>
        <w:tc>
          <w:tcPr>
            <w:tcW w:w="228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考核招标代理机构档案资料（如招投标文件、项目资料等）的建立、保管、查阅、使用、保密等相关制度建立情况。</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已建立且较为完善</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45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基本建立但尚不完善</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5</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未建立</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管理认证情况</w:t>
            </w:r>
          </w:p>
        </w:tc>
        <w:tc>
          <w:tcPr>
            <w:tcW w:w="72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c>
          <w:tcPr>
            <w:tcW w:w="113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质量管理认证情况</w:t>
            </w:r>
          </w:p>
        </w:tc>
        <w:tc>
          <w:tcPr>
            <w:tcW w:w="69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考核招标代理机构质量管理认证情况。</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通过认证</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未认证</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高管情况</w:t>
            </w:r>
          </w:p>
        </w:tc>
        <w:tc>
          <w:tcPr>
            <w:tcW w:w="72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113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本科以上学历比例</w:t>
            </w:r>
          </w:p>
        </w:tc>
        <w:tc>
          <w:tcPr>
            <w:tcW w:w="69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228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通过对招标代理机构高管本科以上占比情况进行分析，考核招标代理机构高管教育水平高低。</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7</w:t>
            </w:r>
            <w:r>
              <w:rPr>
                <w:rFonts w:ascii="宋体" w:hAnsi="宋体" w:cs="宋体"/>
                <w:color w:val="000000"/>
                <w:kern w:val="0"/>
                <w:sz w:val="18"/>
                <w:szCs w:val="18"/>
              </w:rPr>
              <w:t>0%</w:t>
            </w:r>
            <w:r>
              <w:rPr>
                <w:rFonts w:ascii="宋体" w:hAnsi="宋体" w:cs="宋体" w:hint="eastAsia"/>
                <w:color w:val="000000"/>
                <w:kern w:val="0"/>
                <w:sz w:val="18"/>
                <w:szCs w:val="18"/>
              </w:rPr>
              <w:t>以上</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0%~</w:t>
            </w:r>
            <w:r>
              <w:rPr>
                <w:rFonts w:ascii="宋体" w:hAnsi="宋体" w:cs="宋体" w:hint="eastAsia"/>
                <w:color w:val="000000"/>
                <w:kern w:val="0"/>
                <w:sz w:val="18"/>
                <w:szCs w:val="18"/>
              </w:rPr>
              <w:t>7</w:t>
            </w:r>
            <w:r>
              <w:rPr>
                <w:rFonts w:ascii="宋体" w:hAnsi="宋体" w:cs="宋体"/>
                <w:color w:val="000000"/>
                <w:kern w:val="0"/>
                <w:sz w:val="18"/>
                <w:szCs w:val="18"/>
              </w:rPr>
              <w:t>0%</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w:t>
            </w:r>
            <w:r>
              <w:rPr>
                <w:rFonts w:ascii="宋体" w:hAnsi="宋体" w:cs="宋体" w:hint="eastAsia"/>
                <w:color w:val="000000"/>
                <w:kern w:val="0"/>
                <w:sz w:val="18"/>
                <w:szCs w:val="18"/>
              </w:rPr>
              <w:t>4</w:t>
            </w:r>
            <w:r>
              <w:rPr>
                <w:rFonts w:ascii="宋体" w:hAnsi="宋体" w:cs="宋体"/>
                <w:color w:val="000000"/>
                <w:kern w:val="0"/>
                <w:sz w:val="18"/>
                <w:szCs w:val="18"/>
              </w:rPr>
              <w:t>0%</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以下</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中级以上职称比例</w:t>
            </w:r>
          </w:p>
        </w:tc>
        <w:tc>
          <w:tcPr>
            <w:tcW w:w="69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228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通过对招标代理机构高管中级以上职称占比情况进行分析，考核招标代理机构高管专业技术水平高低。</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7</w:t>
            </w:r>
            <w:r>
              <w:rPr>
                <w:rFonts w:ascii="宋体" w:hAnsi="宋体" w:cs="宋体"/>
                <w:color w:val="000000"/>
                <w:kern w:val="0"/>
                <w:sz w:val="18"/>
                <w:szCs w:val="18"/>
              </w:rPr>
              <w:t>0%</w:t>
            </w:r>
            <w:r>
              <w:rPr>
                <w:rFonts w:ascii="宋体" w:hAnsi="宋体" w:cs="宋体" w:hint="eastAsia"/>
                <w:color w:val="000000"/>
                <w:kern w:val="0"/>
                <w:sz w:val="18"/>
                <w:szCs w:val="18"/>
              </w:rPr>
              <w:t>以上</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0%~</w:t>
            </w:r>
            <w:r>
              <w:rPr>
                <w:rFonts w:ascii="宋体" w:hAnsi="宋体" w:cs="宋体" w:hint="eastAsia"/>
                <w:color w:val="000000"/>
                <w:kern w:val="0"/>
                <w:sz w:val="18"/>
                <w:szCs w:val="18"/>
              </w:rPr>
              <w:t>7</w:t>
            </w:r>
            <w:r>
              <w:rPr>
                <w:rFonts w:ascii="宋体" w:hAnsi="宋体" w:cs="宋体"/>
                <w:color w:val="000000"/>
                <w:kern w:val="0"/>
                <w:sz w:val="18"/>
                <w:szCs w:val="18"/>
              </w:rPr>
              <w:t>0%</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w:t>
            </w:r>
            <w:r>
              <w:rPr>
                <w:rFonts w:ascii="宋体" w:hAnsi="宋体" w:cs="宋体" w:hint="eastAsia"/>
                <w:color w:val="000000"/>
                <w:kern w:val="0"/>
                <w:sz w:val="18"/>
                <w:szCs w:val="18"/>
              </w:rPr>
              <w:t>4</w:t>
            </w:r>
            <w:r>
              <w:rPr>
                <w:rFonts w:ascii="宋体" w:hAnsi="宋体" w:cs="宋体"/>
                <w:color w:val="000000"/>
                <w:kern w:val="0"/>
                <w:sz w:val="18"/>
                <w:szCs w:val="18"/>
              </w:rPr>
              <w:t>0%</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以下</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w:t>
            </w:r>
          </w:p>
        </w:tc>
      </w:tr>
      <w:tr w:rsidR="00420259" w:rsidTr="00B72082">
        <w:trPr>
          <w:trHeight w:val="319"/>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平均从业年限</w:t>
            </w:r>
          </w:p>
        </w:tc>
        <w:tc>
          <w:tcPr>
            <w:tcW w:w="694"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2281"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通过对招标代理机构高层管理人员平均从业年限分析，考核高管的行业管理经验。</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15年以上</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8</w:t>
            </w:r>
            <w:r>
              <w:rPr>
                <w:rFonts w:ascii="宋体" w:hAnsi="宋体" w:cs="宋体"/>
                <w:color w:val="000000"/>
                <w:kern w:val="0"/>
                <w:sz w:val="18"/>
                <w:szCs w:val="18"/>
              </w:rPr>
              <w:t>~15</w:t>
            </w:r>
            <w:r>
              <w:rPr>
                <w:rFonts w:ascii="宋体" w:hAnsi="宋体" w:cs="宋体" w:hint="eastAsia"/>
                <w:color w:val="000000"/>
                <w:kern w:val="0"/>
                <w:sz w:val="18"/>
                <w:szCs w:val="18"/>
              </w:rPr>
              <w:t>年</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8</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w:t>
            </w:r>
            <w:r>
              <w:rPr>
                <w:rFonts w:ascii="宋体" w:hAnsi="宋体" w:cs="宋体" w:hint="eastAsia"/>
                <w:color w:val="000000"/>
                <w:kern w:val="0"/>
                <w:sz w:val="18"/>
                <w:szCs w:val="18"/>
              </w:rPr>
              <w:t>8年</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4</w:t>
            </w:r>
          </w:p>
        </w:tc>
      </w:tr>
      <w:tr w:rsidR="00420259" w:rsidTr="00B72082">
        <w:trPr>
          <w:trHeight w:val="27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3年以内</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w:t>
            </w:r>
          </w:p>
        </w:tc>
      </w:tr>
      <w:tr w:rsidR="00420259" w:rsidTr="00B72082">
        <w:trPr>
          <w:trHeight w:val="45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违法违纪行为记录</w:t>
            </w:r>
          </w:p>
        </w:tc>
        <w:tc>
          <w:tcPr>
            <w:tcW w:w="694"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2281" w:type="dxa"/>
            <w:vMerge w:val="restart"/>
            <w:tcBorders>
              <w:top w:val="nil"/>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通过对招标代理机构高管人员是否存在违法违纪行为分析，考核招标代理机构高管人员的信誉状况。</w:t>
            </w: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人以上存在违法违纪行为</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-20</w:t>
            </w:r>
            <w:r>
              <w:rPr>
                <w:rFonts w:ascii="宋体" w:hAnsi="宋体" w:cs="宋体" w:hint="eastAsia"/>
                <w:color w:val="000000"/>
                <w:kern w:val="0"/>
                <w:sz w:val="18"/>
                <w:szCs w:val="18"/>
              </w:rPr>
              <w:t>（同时级别降为</w:t>
            </w:r>
            <w:r>
              <w:rPr>
                <w:rFonts w:ascii="宋体" w:hAnsi="宋体" w:cs="宋体"/>
                <w:color w:val="000000"/>
                <w:kern w:val="0"/>
                <w:sz w:val="18"/>
                <w:szCs w:val="18"/>
              </w:rPr>
              <w:t>B</w:t>
            </w:r>
            <w:r>
              <w:rPr>
                <w:rFonts w:ascii="宋体" w:hAnsi="宋体" w:cs="宋体" w:hint="eastAsia"/>
                <w:color w:val="000000"/>
                <w:kern w:val="0"/>
                <w:sz w:val="18"/>
                <w:szCs w:val="18"/>
              </w:rPr>
              <w:t>级或以下）</w:t>
            </w:r>
          </w:p>
        </w:tc>
      </w:tr>
      <w:tr w:rsidR="00420259" w:rsidTr="00B72082">
        <w:trPr>
          <w:trHeight w:val="450"/>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人以上存在违法违纪行为</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317"/>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不存在违法违纪行为</w:t>
            </w:r>
          </w:p>
        </w:tc>
        <w:tc>
          <w:tcPr>
            <w:tcW w:w="990"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696"/>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信息化建设</w:t>
            </w:r>
          </w:p>
        </w:tc>
        <w:tc>
          <w:tcPr>
            <w:tcW w:w="721"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15%</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电子化经营水平</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75%</w:t>
            </w:r>
          </w:p>
        </w:tc>
        <w:tc>
          <w:tcPr>
            <w:tcW w:w="2281"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通过招标代理机构办公系统、电子化招标系统等管理平台的先进性考核招标代理机构的信息化建设程度。</w:t>
            </w:r>
          </w:p>
        </w:tc>
        <w:tc>
          <w:tcPr>
            <w:tcW w:w="2115"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已建立且较为完善</w:t>
            </w:r>
          </w:p>
        </w:tc>
        <w:tc>
          <w:tcPr>
            <w:tcW w:w="990"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565"/>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基本建立但尚不完善</w:t>
            </w:r>
          </w:p>
        </w:tc>
        <w:tc>
          <w:tcPr>
            <w:tcW w:w="990"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5</w:t>
            </w:r>
          </w:p>
        </w:tc>
      </w:tr>
      <w:tr w:rsidR="00420259" w:rsidTr="00B72082">
        <w:trPr>
          <w:trHeight w:val="227"/>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未建立</w:t>
            </w:r>
          </w:p>
        </w:tc>
        <w:tc>
          <w:tcPr>
            <w:tcW w:w="990"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227"/>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网站建设</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2281"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考核招标代理机构门户网站建设情况</w:t>
            </w:r>
          </w:p>
        </w:tc>
        <w:tc>
          <w:tcPr>
            <w:tcW w:w="2115"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已建立并及时更新</w:t>
            </w:r>
          </w:p>
        </w:tc>
        <w:tc>
          <w:tcPr>
            <w:tcW w:w="990"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B72082">
        <w:trPr>
          <w:trHeight w:val="227"/>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已建立但未及时更新</w:t>
            </w:r>
          </w:p>
        </w:tc>
        <w:tc>
          <w:tcPr>
            <w:tcW w:w="990"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5</w:t>
            </w:r>
          </w:p>
        </w:tc>
      </w:tr>
      <w:tr w:rsidR="00420259" w:rsidTr="00B72082">
        <w:trPr>
          <w:trHeight w:val="227"/>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未建立</w:t>
            </w:r>
          </w:p>
        </w:tc>
        <w:tc>
          <w:tcPr>
            <w:tcW w:w="990"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227"/>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学习、创新能力</w:t>
            </w:r>
          </w:p>
        </w:tc>
        <w:tc>
          <w:tcPr>
            <w:tcW w:w="721"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15%</w:t>
            </w:r>
          </w:p>
        </w:tc>
        <w:tc>
          <w:tcPr>
            <w:tcW w:w="1133"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考核招标代理机构近三年业务学习及技术创新情况</w:t>
            </w:r>
          </w:p>
        </w:tc>
        <w:tc>
          <w:tcPr>
            <w:tcW w:w="2115"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主编或参编行业规范性文件</w:t>
            </w:r>
          </w:p>
        </w:tc>
        <w:tc>
          <w:tcPr>
            <w:tcW w:w="990" w:type="dxa"/>
            <w:vMerge w:val="restart"/>
            <w:tcBorders>
              <w:top w:val="single" w:sz="4" w:space="0" w:color="auto"/>
              <w:left w:val="nil"/>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属于加分项，根据项目的重要程度加分，最高</w:t>
            </w:r>
            <w:r>
              <w:rPr>
                <w:rFonts w:ascii="宋体" w:hAnsi="宋体" w:cs="宋体"/>
                <w:color w:val="000000"/>
                <w:kern w:val="0"/>
                <w:sz w:val="18"/>
                <w:szCs w:val="18"/>
              </w:rPr>
              <w:t>10</w:t>
            </w:r>
            <w:r>
              <w:rPr>
                <w:rFonts w:ascii="宋体" w:hAnsi="宋体" w:cs="宋体" w:hint="eastAsia"/>
                <w:color w:val="000000"/>
                <w:kern w:val="0"/>
                <w:sz w:val="18"/>
                <w:szCs w:val="18"/>
              </w:rPr>
              <w:t>分</w:t>
            </w:r>
          </w:p>
        </w:tc>
      </w:tr>
      <w:tr w:rsidR="00420259" w:rsidTr="00B72082">
        <w:trPr>
          <w:trHeight w:val="227"/>
        </w:trPr>
        <w:tc>
          <w:tcPr>
            <w:tcW w:w="717"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获得专利、软件著作权</w:t>
            </w:r>
          </w:p>
        </w:tc>
        <w:tc>
          <w:tcPr>
            <w:tcW w:w="990" w:type="dxa"/>
            <w:vMerge/>
            <w:tcBorders>
              <w:left w:val="nil"/>
              <w:right w:val="single" w:sz="4" w:space="0" w:color="auto"/>
            </w:tcBorders>
            <w:vAlign w:val="center"/>
          </w:tcPr>
          <w:p w:rsidR="00420259" w:rsidRDefault="00420259" w:rsidP="00B72082">
            <w:pPr>
              <w:rPr>
                <w:rFonts w:ascii="宋体" w:cs="宋体"/>
                <w:color w:val="000000"/>
                <w:kern w:val="0"/>
                <w:sz w:val="18"/>
                <w:szCs w:val="18"/>
              </w:rPr>
            </w:pPr>
          </w:p>
        </w:tc>
      </w:tr>
      <w:tr w:rsidR="00420259" w:rsidTr="00B72082">
        <w:trPr>
          <w:trHeight w:val="164"/>
        </w:trPr>
        <w:tc>
          <w:tcPr>
            <w:tcW w:w="717"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02"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1"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21"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133"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694"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281"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15"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在国家级核心期刊或行业内认可的正式期刊发表论文</w:t>
            </w:r>
          </w:p>
        </w:tc>
        <w:tc>
          <w:tcPr>
            <w:tcW w:w="990" w:type="dxa"/>
            <w:vMerge/>
            <w:tcBorders>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r>
      <w:tr w:rsidR="00420259" w:rsidTr="00B72082">
        <w:trPr>
          <w:trHeight w:val="164"/>
        </w:trPr>
        <w:tc>
          <w:tcPr>
            <w:tcW w:w="717" w:type="dxa"/>
            <w:vMerge/>
            <w:tcBorders>
              <w:left w:val="single" w:sz="4" w:space="0" w:color="auto"/>
              <w:bottom w:val="single" w:sz="4" w:space="0" w:color="auto"/>
              <w:right w:val="single" w:sz="4" w:space="0" w:color="auto"/>
            </w:tcBorders>
            <w:vAlign w:val="center"/>
          </w:tcPr>
          <w:p w:rsidR="00420259" w:rsidRDefault="00420259" w:rsidP="00B72082">
            <w:pPr>
              <w:rPr>
                <w:color w:val="000000"/>
              </w:rPr>
            </w:pPr>
          </w:p>
        </w:tc>
        <w:tc>
          <w:tcPr>
            <w:tcW w:w="702" w:type="dxa"/>
            <w:vMerge/>
            <w:tcBorders>
              <w:left w:val="single" w:sz="4" w:space="0" w:color="auto"/>
              <w:bottom w:val="single" w:sz="4" w:space="0" w:color="auto"/>
              <w:right w:val="single" w:sz="4" w:space="0" w:color="auto"/>
            </w:tcBorders>
            <w:vAlign w:val="center"/>
          </w:tcPr>
          <w:p w:rsidR="00420259" w:rsidRDefault="00420259" w:rsidP="00B72082">
            <w:pPr>
              <w:rPr>
                <w:color w:val="000000"/>
              </w:rPr>
            </w:pPr>
          </w:p>
        </w:tc>
        <w:tc>
          <w:tcPr>
            <w:tcW w:w="711" w:type="dxa"/>
            <w:vMerge/>
            <w:tcBorders>
              <w:left w:val="single" w:sz="4" w:space="0" w:color="auto"/>
              <w:bottom w:val="single" w:sz="4" w:space="0" w:color="auto"/>
              <w:right w:val="single" w:sz="4" w:space="0" w:color="auto"/>
            </w:tcBorders>
            <w:vAlign w:val="center"/>
          </w:tcPr>
          <w:p w:rsidR="00420259" w:rsidRDefault="00420259" w:rsidP="00B72082">
            <w:pPr>
              <w:rPr>
                <w:color w:val="000000"/>
              </w:rPr>
            </w:pPr>
          </w:p>
        </w:tc>
        <w:tc>
          <w:tcPr>
            <w:tcW w:w="721" w:type="dxa"/>
            <w:vMerge/>
            <w:tcBorders>
              <w:left w:val="single" w:sz="4" w:space="0" w:color="auto"/>
              <w:bottom w:val="single" w:sz="4" w:space="0" w:color="auto"/>
              <w:right w:val="single" w:sz="4" w:space="0" w:color="auto"/>
            </w:tcBorders>
            <w:vAlign w:val="center"/>
          </w:tcPr>
          <w:p w:rsidR="00420259" w:rsidRDefault="00420259" w:rsidP="00B72082">
            <w:pPr>
              <w:rPr>
                <w:color w:val="000000"/>
              </w:rPr>
            </w:pPr>
          </w:p>
        </w:tc>
        <w:tc>
          <w:tcPr>
            <w:tcW w:w="1133" w:type="dxa"/>
            <w:vMerge/>
            <w:tcBorders>
              <w:left w:val="single" w:sz="4" w:space="0" w:color="auto"/>
              <w:bottom w:val="single" w:sz="4" w:space="0" w:color="auto"/>
              <w:right w:val="single" w:sz="4" w:space="0" w:color="auto"/>
            </w:tcBorders>
            <w:vAlign w:val="center"/>
          </w:tcPr>
          <w:p w:rsidR="00420259" w:rsidRDefault="00420259" w:rsidP="00B72082">
            <w:pPr>
              <w:rPr>
                <w:color w:val="000000"/>
              </w:rPr>
            </w:pPr>
          </w:p>
        </w:tc>
        <w:tc>
          <w:tcPr>
            <w:tcW w:w="694" w:type="dxa"/>
            <w:vMerge/>
            <w:tcBorders>
              <w:left w:val="single" w:sz="4" w:space="0" w:color="auto"/>
              <w:bottom w:val="single" w:sz="4" w:space="0" w:color="auto"/>
              <w:right w:val="single" w:sz="4" w:space="0" w:color="auto"/>
            </w:tcBorders>
            <w:vAlign w:val="center"/>
          </w:tcPr>
          <w:p w:rsidR="00420259" w:rsidRDefault="00420259" w:rsidP="00B72082">
            <w:pPr>
              <w:rPr>
                <w:color w:val="000000"/>
              </w:rPr>
            </w:pPr>
          </w:p>
        </w:tc>
        <w:tc>
          <w:tcPr>
            <w:tcW w:w="2281" w:type="dxa"/>
            <w:vMerge/>
            <w:tcBorders>
              <w:left w:val="single" w:sz="4" w:space="0" w:color="auto"/>
              <w:bottom w:val="single" w:sz="4" w:space="0" w:color="auto"/>
              <w:right w:val="single" w:sz="4" w:space="0" w:color="auto"/>
            </w:tcBorders>
            <w:vAlign w:val="center"/>
          </w:tcPr>
          <w:p w:rsidR="00420259" w:rsidRDefault="00420259" w:rsidP="00B72082">
            <w:pPr>
              <w:rPr>
                <w:color w:val="000000"/>
              </w:rPr>
            </w:pPr>
          </w:p>
        </w:tc>
        <w:tc>
          <w:tcPr>
            <w:tcW w:w="2115"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参加有关行政部门、行业协会的培训、交流活动</w:t>
            </w:r>
          </w:p>
        </w:tc>
        <w:tc>
          <w:tcPr>
            <w:tcW w:w="990" w:type="dxa"/>
            <w:vMerge/>
            <w:tcBorders>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r>
    </w:tbl>
    <w:p w:rsidR="00420259" w:rsidRDefault="00420259" w:rsidP="00420259">
      <w:pPr>
        <w:rPr>
          <w:rFonts w:ascii="黑体" w:eastAsia="黑体" w:hAnsi="宋体"/>
          <w:b/>
          <w:bCs/>
          <w:color w:val="000000"/>
          <w:sz w:val="24"/>
        </w:rPr>
      </w:pPr>
    </w:p>
    <w:p w:rsidR="00420259" w:rsidRDefault="00420259" w:rsidP="00420259">
      <w:pPr>
        <w:rPr>
          <w:rFonts w:ascii="黑体" w:eastAsia="黑体" w:hAnsi="宋体"/>
          <w:b/>
          <w:bCs/>
          <w:color w:val="000000"/>
          <w:sz w:val="24"/>
        </w:rPr>
      </w:pPr>
      <w:r>
        <w:rPr>
          <w:rFonts w:ascii="黑体" w:eastAsia="黑体" w:hAnsi="宋体" w:hint="eastAsia"/>
          <w:b/>
          <w:bCs/>
          <w:color w:val="000000"/>
          <w:sz w:val="24"/>
        </w:rPr>
        <w:t>三、招标代理机构财务实力</w:t>
      </w:r>
    </w:p>
    <w:p w:rsidR="00420259" w:rsidRDefault="00420259" w:rsidP="00420259">
      <w:pPr>
        <w:rPr>
          <w:color w:val="000000"/>
        </w:rPr>
      </w:pPr>
      <w:r>
        <w:rPr>
          <w:rFonts w:hint="eastAsia"/>
          <w:color w:val="000000"/>
        </w:rPr>
        <w:t>招标代理机构财务实力分析指标体系由四部分构成，分别是发展能力、经营稳定性、发展潜力和信用风险水平。权重为</w:t>
      </w:r>
      <w:r>
        <w:rPr>
          <w:color w:val="000000"/>
        </w:rPr>
        <w:t>25%</w:t>
      </w:r>
      <w:r>
        <w:rPr>
          <w:rFonts w:hint="eastAsia"/>
          <w:color w:val="000000"/>
        </w:rPr>
        <w:t>。</w:t>
      </w:r>
    </w:p>
    <w:tbl>
      <w:tblPr>
        <w:tblW w:w="0" w:type="auto"/>
        <w:tblInd w:w="-743" w:type="dxa"/>
        <w:tblLayout w:type="fixed"/>
        <w:tblLook w:val="0000"/>
      </w:tblPr>
      <w:tblGrid>
        <w:gridCol w:w="993"/>
        <w:gridCol w:w="710"/>
        <w:gridCol w:w="1325"/>
        <w:gridCol w:w="688"/>
        <w:gridCol w:w="6492"/>
      </w:tblGrid>
      <w:tr w:rsidR="00420259" w:rsidTr="00B72082">
        <w:trPr>
          <w:trHeight w:val="434"/>
        </w:trPr>
        <w:tc>
          <w:tcPr>
            <w:tcW w:w="1703"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一级指标</w:t>
            </w:r>
          </w:p>
        </w:tc>
        <w:tc>
          <w:tcPr>
            <w:tcW w:w="2013" w:type="dxa"/>
            <w:gridSpan w:val="2"/>
            <w:tcBorders>
              <w:top w:val="single" w:sz="4" w:space="0" w:color="auto"/>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二级指标</w:t>
            </w:r>
          </w:p>
        </w:tc>
        <w:tc>
          <w:tcPr>
            <w:tcW w:w="6492"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评价标准及评价方法</w:t>
            </w:r>
          </w:p>
        </w:tc>
      </w:tr>
      <w:tr w:rsidR="00420259" w:rsidTr="00B72082">
        <w:trPr>
          <w:trHeight w:val="537"/>
        </w:trPr>
        <w:tc>
          <w:tcPr>
            <w:tcW w:w="993" w:type="dxa"/>
            <w:tcBorders>
              <w:top w:val="nil"/>
              <w:left w:val="single" w:sz="4" w:space="0" w:color="auto"/>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710"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权重</w:t>
            </w:r>
          </w:p>
        </w:tc>
        <w:tc>
          <w:tcPr>
            <w:tcW w:w="1325"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688" w:type="dxa"/>
            <w:tcBorders>
              <w:top w:val="nil"/>
              <w:left w:val="nil"/>
              <w:bottom w:val="single" w:sz="4" w:space="0" w:color="auto"/>
              <w:right w:val="single" w:sz="4"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权重</w:t>
            </w:r>
          </w:p>
        </w:tc>
        <w:tc>
          <w:tcPr>
            <w:tcW w:w="6492" w:type="dxa"/>
            <w:vMerge/>
            <w:tcBorders>
              <w:top w:val="nil"/>
              <w:left w:val="nil"/>
              <w:bottom w:val="single" w:sz="4" w:space="0" w:color="auto"/>
              <w:right w:val="single" w:sz="4" w:space="0" w:color="auto"/>
            </w:tcBorders>
            <w:vAlign w:val="center"/>
          </w:tcPr>
          <w:p w:rsidR="00420259" w:rsidRDefault="00420259" w:rsidP="00B72082">
            <w:pPr>
              <w:rPr>
                <w:rFonts w:ascii="宋体" w:cs="宋体"/>
                <w:b/>
                <w:bCs/>
                <w:color w:val="000000"/>
                <w:kern w:val="0"/>
                <w:sz w:val="18"/>
                <w:szCs w:val="18"/>
              </w:rPr>
            </w:pPr>
          </w:p>
        </w:tc>
      </w:tr>
      <w:tr w:rsidR="00420259" w:rsidTr="00420259">
        <w:trPr>
          <w:trHeight w:val="1190"/>
        </w:trPr>
        <w:tc>
          <w:tcPr>
            <w:tcW w:w="993"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财务实力</w:t>
            </w:r>
          </w:p>
        </w:tc>
        <w:tc>
          <w:tcPr>
            <w:tcW w:w="710" w:type="dxa"/>
            <w:vMerge w:val="restart"/>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25%</w:t>
            </w:r>
          </w:p>
        </w:tc>
        <w:tc>
          <w:tcPr>
            <w:tcW w:w="132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发展能力</w:t>
            </w:r>
          </w:p>
        </w:tc>
        <w:tc>
          <w:tcPr>
            <w:tcW w:w="68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15%</w:t>
            </w:r>
          </w:p>
        </w:tc>
        <w:tc>
          <w:tcPr>
            <w:tcW w:w="6492"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对招标代理机构资产规模特别是权益资本规模的波动情况、主营业务的增长水平情况、负债总额与负债结构变化情况及可支配收益增长情况等综合指标分析做出的招标代理机构发展能力水平的判断。</w:t>
            </w:r>
          </w:p>
        </w:tc>
      </w:tr>
      <w:tr w:rsidR="00420259" w:rsidTr="00420259">
        <w:trPr>
          <w:trHeight w:val="980"/>
        </w:trPr>
        <w:tc>
          <w:tcPr>
            <w:tcW w:w="99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32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经营稳定性</w:t>
            </w:r>
          </w:p>
        </w:tc>
        <w:tc>
          <w:tcPr>
            <w:tcW w:w="68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15%</w:t>
            </w:r>
          </w:p>
        </w:tc>
        <w:tc>
          <w:tcPr>
            <w:tcW w:w="6492"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对招标代理机构综合运营效率指标及招标代理机构对运营控制或对外经营环境变化的控制能力等综合指标分析做出的招标代理机构经营稳定性的判断。</w:t>
            </w:r>
          </w:p>
        </w:tc>
      </w:tr>
      <w:tr w:rsidR="00420259" w:rsidTr="00420259">
        <w:trPr>
          <w:trHeight w:val="994"/>
        </w:trPr>
        <w:tc>
          <w:tcPr>
            <w:tcW w:w="99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32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发展潜力</w:t>
            </w:r>
          </w:p>
        </w:tc>
        <w:tc>
          <w:tcPr>
            <w:tcW w:w="68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20%</w:t>
            </w:r>
          </w:p>
        </w:tc>
        <w:tc>
          <w:tcPr>
            <w:tcW w:w="6492"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对招标代理机构总资产及净资产收益能力、专业化及主营业务收益能力、运营效率及运营控制或对外部供给冲击响应能力等综合指标分析做出的招标代理机构发展潜力的判断。</w:t>
            </w:r>
          </w:p>
        </w:tc>
      </w:tr>
      <w:tr w:rsidR="00420259" w:rsidTr="00420259">
        <w:trPr>
          <w:trHeight w:val="1125"/>
        </w:trPr>
        <w:tc>
          <w:tcPr>
            <w:tcW w:w="993"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710" w:type="dxa"/>
            <w:vMerge/>
            <w:tcBorders>
              <w:top w:val="nil"/>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325"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信用风险水平</w:t>
            </w:r>
          </w:p>
        </w:tc>
        <w:tc>
          <w:tcPr>
            <w:tcW w:w="688" w:type="dxa"/>
            <w:tcBorders>
              <w:top w:val="nil"/>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50%</w:t>
            </w:r>
          </w:p>
        </w:tc>
        <w:tc>
          <w:tcPr>
            <w:tcW w:w="6492" w:type="dxa"/>
            <w:tcBorders>
              <w:top w:val="single" w:sz="4" w:space="0" w:color="auto"/>
              <w:left w:val="nil"/>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对招标代理机构负债类型与负债结构、现金充足程度及其他偿付能力等综合指标分析做出的招标代理机构信用风险水平的临界判断。</w:t>
            </w:r>
          </w:p>
        </w:tc>
      </w:tr>
    </w:tbl>
    <w:p w:rsidR="00420259" w:rsidRDefault="00420259" w:rsidP="00420259">
      <w:pPr>
        <w:rPr>
          <w:rFonts w:ascii="黑体" w:eastAsia="黑体"/>
          <w:b/>
          <w:color w:val="000000"/>
          <w:sz w:val="24"/>
        </w:rPr>
      </w:pPr>
      <w:r>
        <w:rPr>
          <w:rFonts w:ascii="黑体" w:eastAsia="黑体" w:hAnsi="宋体" w:hint="eastAsia"/>
          <w:b/>
          <w:bCs/>
          <w:color w:val="000000"/>
          <w:sz w:val="24"/>
        </w:rPr>
        <w:lastRenderedPageBreak/>
        <w:t>四、招标代理机构</w:t>
      </w:r>
      <w:r>
        <w:rPr>
          <w:rFonts w:ascii="黑体" w:eastAsia="黑体" w:hint="eastAsia"/>
          <w:b/>
          <w:color w:val="000000"/>
          <w:sz w:val="24"/>
        </w:rPr>
        <w:t>公共信用记录</w:t>
      </w:r>
    </w:p>
    <w:p w:rsidR="00420259" w:rsidRDefault="00420259" w:rsidP="00420259">
      <w:pPr>
        <w:rPr>
          <w:color w:val="000000"/>
        </w:rPr>
      </w:pPr>
      <w:r>
        <w:rPr>
          <w:rFonts w:hint="eastAsia"/>
          <w:color w:val="000000"/>
        </w:rPr>
        <w:t>招标代理机构公共信用记录包括荣誉奖励情况、社会公益、行政处罚记录、招标代理违规行为记录、失信记录等五项。权重为</w:t>
      </w:r>
      <w:r>
        <w:rPr>
          <w:color w:val="000000"/>
        </w:rPr>
        <w:t>30%</w:t>
      </w:r>
      <w:r>
        <w:rPr>
          <w:rFonts w:hint="eastAsia"/>
          <w:color w:val="000000"/>
        </w:rPr>
        <w:t>。</w:t>
      </w:r>
    </w:p>
    <w:tbl>
      <w:tblPr>
        <w:tblW w:w="0" w:type="auto"/>
        <w:tblInd w:w="-743" w:type="dxa"/>
        <w:tblLayout w:type="fixed"/>
        <w:tblLook w:val="0000"/>
      </w:tblPr>
      <w:tblGrid>
        <w:gridCol w:w="992"/>
        <w:gridCol w:w="851"/>
        <w:gridCol w:w="992"/>
        <w:gridCol w:w="849"/>
        <w:gridCol w:w="2150"/>
        <w:gridCol w:w="2530"/>
        <w:gridCol w:w="1844"/>
      </w:tblGrid>
      <w:tr w:rsidR="00420259" w:rsidTr="00B72082">
        <w:trPr>
          <w:trHeight w:val="331"/>
        </w:trPr>
        <w:tc>
          <w:tcPr>
            <w:tcW w:w="1843" w:type="dxa"/>
            <w:gridSpan w:val="2"/>
            <w:tcBorders>
              <w:top w:val="single" w:sz="8" w:space="0" w:color="auto"/>
              <w:left w:val="single" w:sz="8" w:space="0" w:color="auto"/>
              <w:bottom w:val="single" w:sz="8" w:space="0" w:color="auto"/>
              <w:right w:val="single" w:sz="8" w:space="0" w:color="000000"/>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一级指标</w:t>
            </w:r>
          </w:p>
        </w:tc>
        <w:tc>
          <w:tcPr>
            <w:tcW w:w="1841" w:type="dxa"/>
            <w:gridSpan w:val="2"/>
            <w:tcBorders>
              <w:top w:val="single" w:sz="8" w:space="0" w:color="auto"/>
              <w:left w:val="nil"/>
              <w:bottom w:val="single" w:sz="8" w:space="0" w:color="auto"/>
              <w:right w:val="single" w:sz="8" w:space="0" w:color="000000"/>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二级指标</w:t>
            </w:r>
          </w:p>
        </w:tc>
        <w:tc>
          <w:tcPr>
            <w:tcW w:w="2150" w:type="dxa"/>
            <w:vMerge w:val="restart"/>
            <w:tcBorders>
              <w:top w:val="single" w:sz="8" w:space="0" w:color="auto"/>
              <w:left w:val="nil"/>
              <w:bottom w:val="single" w:sz="8" w:space="0" w:color="000000"/>
              <w:right w:val="single" w:sz="8"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指标说明</w:t>
            </w:r>
          </w:p>
        </w:tc>
        <w:tc>
          <w:tcPr>
            <w:tcW w:w="4374" w:type="dxa"/>
            <w:gridSpan w:val="2"/>
            <w:vMerge w:val="restart"/>
            <w:tcBorders>
              <w:top w:val="single" w:sz="8" w:space="0" w:color="auto"/>
              <w:left w:val="single" w:sz="8" w:space="0" w:color="auto"/>
              <w:bottom w:val="single" w:sz="8" w:space="0" w:color="000000"/>
              <w:right w:val="single" w:sz="8" w:space="0" w:color="000000"/>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评价标准和得分</w:t>
            </w:r>
          </w:p>
        </w:tc>
      </w:tr>
      <w:tr w:rsidR="00420259" w:rsidTr="00B72082">
        <w:trPr>
          <w:trHeight w:val="422"/>
        </w:trPr>
        <w:tc>
          <w:tcPr>
            <w:tcW w:w="992" w:type="dxa"/>
            <w:tcBorders>
              <w:top w:val="nil"/>
              <w:left w:val="single" w:sz="8" w:space="0" w:color="auto"/>
              <w:bottom w:val="single" w:sz="8" w:space="0" w:color="auto"/>
              <w:right w:val="single" w:sz="8"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851" w:type="dxa"/>
            <w:tcBorders>
              <w:top w:val="nil"/>
              <w:left w:val="nil"/>
              <w:bottom w:val="single" w:sz="8" w:space="0" w:color="auto"/>
              <w:right w:val="single" w:sz="8"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权重</w:t>
            </w:r>
          </w:p>
        </w:tc>
        <w:tc>
          <w:tcPr>
            <w:tcW w:w="992" w:type="dxa"/>
            <w:tcBorders>
              <w:top w:val="nil"/>
              <w:left w:val="nil"/>
              <w:bottom w:val="single" w:sz="8" w:space="0" w:color="auto"/>
              <w:right w:val="single" w:sz="8"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849" w:type="dxa"/>
            <w:tcBorders>
              <w:top w:val="nil"/>
              <w:left w:val="nil"/>
              <w:bottom w:val="single" w:sz="8" w:space="0" w:color="auto"/>
              <w:right w:val="single" w:sz="8" w:space="0" w:color="auto"/>
            </w:tcBorders>
            <w:shd w:val="clear" w:color="000000" w:fill="EEECE1"/>
            <w:vAlign w:val="center"/>
          </w:tcPr>
          <w:p w:rsidR="00420259" w:rsidRDefault="00420259" w:rsidP="00B72082">
            <w:pPr>
              <w:rPr>
                <w:rFonts w:ascii="宋体" w:cs="宋体"/>
                <w:b/>
                <w:bCs/>
                <w:color w:val="000000"/>
                <w:kern w:val="0"/>
                <w:sz w:val="18"/>
                <w:szCs w:val="18"/>
              </w:rPr>
            </w:pPr>
            <w:r>
              <w:rPr>
                <w:rFonts w:ascii="宋体" w:hAnsi="宋体" w:cs="宋体" w:hint="eastAsia"/>
                <w:b/>
                <w:bCs/>
                <w:color w:val="000000"/>
                <w:kern w:val="0"/>
                <w:sz w:val="18"/>
                <w:szCs w:val="18"/>
              </w:rPr>
              <w:t>权重</w:t>
            </w:r>
          </w:p>
        </w:tc>
        <w:tc>
          <w:tcPr>
            <w:tcW w:w="2150" w:type="dxa"/>
            <w:vMerge/>
            <w:tcBorders>
              <w:top w:val="single" w:sz="8" w:space="0" w:color="auto"/>
              <w:left w:val="nil"/>
              <w:bottom w:val="single" w:sz="8" w:space="0" w:color="000000"/>
              <w:right w:val="single" w:sz="8" w:space="0" w:color="auto"/>
            </w:tcBorders>
            <w:vAlign w:val="center"/>
          </w:tcPr>
          <w:p w:rsidR="00420259" w:rsidRDefault="00420259" w:rsidP="00B72082">
            <w:pPr>
              <w:rPr>
                <w:rFonts w:ascii="宋体" w:cs="宋体"/>
                <w:b/>
                <w:bCs/>
                <w:color w:val="000000"/>
                <w:kern w:val="0"/>
                <w:sz w:val="18"/>
                <w:szCs w:val="18"/>
              </w:rPr>
            </w:pPr>
          </w:p>
        </w:tc>
        <w:tc>
          <w:tcPr>
            <w:tcW w:w="4374" w:type="dxa"/>
            <w:gridSpan w:val="2"/>
            <w:vMerge/>
            <w:tcBorders>
              <w:top w:val="single" w:sz="8" w:space="0" w:color="auto"/>
              <w:left w:val="single" w:sz="8" w:space="0" w:color="auto"/>
              <w:bottom w:val="single" w:sz="4" w:space="0" w:color="auto"/>
              <w:right w:val="single" w:sz="8" w:space="0" w:color="000000"/>
            </w:tcBorders>
            <w:vAlign w:val="center"/>
          </w:tcPr>
          <w:p w:rsidR="00420259" w:rsidRDefault="00420259" w:rsidP="00B72082">
            <w:pPr>
              <w:rPr>
                <w:rFonts w:ascii="宋体" w:cs="宋体"/>
                <w:b/>
                <w:bCs/>
                <w:color w:val="000000"/>
                <w:kern w:val="0"/>
                <w:sz w:val="18"/>
                <w:szCs w:val="18"/>
              </w:rPr>
            </w:pPr>
          </w:p>
        </w:tc>
      </w:tr>
      <w:tr w:rsidR="00420259" w:rsidTr="00B72082">
        <w:trPr>
          <w:trHeight w:val="315"/>
        </w:trPr>
        <w:tc>
          <w:tcPr>
            <w:tcW w:w="992" w:type="dxa"/>
            <w:vMerge w:val="restart"/>
            <w:tcBorders>
              <w:top w:val="nil"/>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公共信用记录</w:t>
            </w:r>
          </w:p>
        </w:tc>
        <w:tc>
          <w:tcPr>
            <w:tcW w:w="851" w:type="dxa"/>
            <w:vMerge w:val="restart"/>
            <w:tcBorders>
              <w:top w:val="nil"/>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30%</w:t>
            </w:r>
          </w:p>
        </w:tc>
        <w:tc>
          <w:tcPr>
            <w:tcW w:w="992" w:type="dxa"/>
            <w:vMerge w:val="restart"/>
            <w:tcBorders>
              <w:top w:val="nil"/>
              <w:left w:val="single" w:sz="8" w:space="0" w:color="auto"/>
              <w:right w:val="single" w:sz="8" w:space="0" w:color="auto"/>
            </w:tcBorders>
            <w:vAlign w:val="center"/>
          </w:tcPr>
          <w:p w:rsidR="00420259" w:rsidRDefault="00420259" w:rsidP="00B72082">
            <w:pPr>
              <w:rPr>
                <w:rFonts w:ascii="宋体" w:cs="宋体"/>
                <w:color w:val="FF0000"/>
                <w:kern w:val="0"/>
                <w:sz w:val="18"/>
                <w:szCs w:val="18"/>
              </w:rPr>
            </w:pPr>
            <w:r>
              <w:rPr>
                <w:rFonts w:ascii="宋体" w:hAnsi="宋体" w:cs="宋体" w:hint="eastAsia"/>
                <w:color w:val="000000"/>
                <w:kern w:val="0"/>
                <w:sz w:val="18"/>
                <w:szCs w:val="18"/>
              </w:rPr>
              <w:t>获得荣誉奖励情况</w:t>
            </w:r>
          </w:p>
        </w:tc>
        <w:tc>
          <w:tcPr>
            <w:tcW w:w="849" w:type="dxa"/>
            <w:vMerge w:val="restart"/>
            <w:tcBorders>
              <w:top w:val="nil"/>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20%</w:t>
            </w:r>
          </w:p>
        </w:tc>
        <w:tc>
          <w:tcPr>
            <w:tcW w:w="2150" w:type="dxa"/>
            <w:vMerge w:val="restart"/>
            <w:tcBorders>
              <w:top w:val="nil"/>
              <w:left w:val="single" w:sz="8"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考核招标代理机构的招标代理业务近三年获得来自工商、税务、财政、住房和城乡建设、发改委等政府部门以及银行、协会等机构的奖励情况。</w:t>
            </w: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奖励信息数量</w:t>
            </w: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得分</w:t>
            </w:r>
          </w:p>
        </w:tc>
      </w:tr>
      <w:tr w:rsidR="00420259" w:rsidTr="00B72082">
        <w:trPr>
          <w:trHeight w:val="312"/>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49"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2150" w:type="dxa"/>
            <w:vMerge/>
            <w:tcBorders>
              <w:left w:val="single" w:sz="8"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国家级奖项，每项得</w:t>
            </w:r>
            <w:r>
              <w:rPr>
                <w:rFonts w:ascii="宋体" w:hAnsi="宋体" w:cs="宋体"/>
                <w:color w:val="000000"/>
                <w:kern w:val="0"/>
                <w:sz w:val="18"/>
                <w:szCs w:val="18"/>
              </w:rPr>
              <w:t>2</w:t>
            </w:r>
            <w:r>
              <w:rPr>
                <w:rFonts w:ascii="宋体" w:hAnsi="宋体" w:cs="宋体" w:hint="eastAsia"/>
                <w:color w:val="000000"/>
                <w:kern w:val="0"/>
                <w:sz w:val="18"/>
                <w:szCs w:val="18"/>
              </w:rPr>
              <w:t>分</w:t>
            </w:r>
          </w:p>
        </w:tc>
        <w:tc>
          <w:tcPr>
            <w:tcW w:w="1844"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hint="eastAsia"/>
                <w:color w:val="000000"/>
                <w:kern w:val="0"/>
                <w:sz w:val="18"/>
                <w:szCs w:val="18"/>
              </w:rPr>
              <w:t>满分</w:t>
            </w:r>
            <w:r>
              <w:rPr>
                <w:rFonts w:ascii="宋体" w:cs="宋体"/>
                <w:color w:val="000000"/>
                <w:kern w:val="0"/>
                <w:sz w:val="18"/>
                <w:szCs w:val="18"/>
              </w:rPr>
              <w:t>10</w:t>
            </w:r>
            <w:r>
              <w:rPr>
                <w:rFonts w:ascii="宋体" w:cs="宋体" w:hint="eastAsia"/>
                <w:color w:val="000000"/>
                <w:kern w:val="0"/>
                <w:sz w:val="18"/>
                <w:szCs w:val="18"/>
              </w:rPr>
              <w:t>分</w:t>
            </w:r>
          </w:p>
        </w:tc>
      </w:tr>
      <w:tr w:rsidR="00420259" w:rsidTr="00B72082">
        <w:trPr>
          <w:trHeight w:val="312"/>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49"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2150" w:type="dxa"/>
            <w:vMerge/>
            <w:tcBorders>
              <w:left w:val="single" w:sz="8"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省级奖项，每项得</w:t>
            </w:r>
            <w:r>
              <w:rPr>
                <w:rFonts w:ascii="宋体" w:hAnsi="宋体" w:cs="宋体"/>
                <w:color w:val="000000"/>
                <w:kern w:val="0"/>
                <w:sz w:val="18"/>
                <w:szCs w:val="18"/>
              </w:rPr>
              <w:t>1.5</w:t>
            </w:r>
            <w:r>
              <w:rPr>
                <w:rFonts w:ascii="宋体" w:hAnsi="宋体" w:cs="宋体" w:hint="eastAsia"/>
                <w:color w:val="000000"/>
                <w:kern w:val="0"/>
                <w:sz w:val="18"/>
                <w:szCs w:val="18"/>
              </w:rPr>
              <w:t>分</w:t>
            </w:r>
          </w:p>
        </w:tc>
        <w:tc>
          <w:tcPr>
            <w:tcW w:w="1844"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r>
      <w:tr w:rsidR="00420259" w:rsidTr="00B72082">
        <w:trPr>
          <w:trHeight w:val="312"/>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49"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2150" w:type="dxa"/>
            <w:vMerge/>
            <w:tcBorders>
              <w:left w:val="single" w:sz="8"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地市级奖项，每项得</w:t>
            </w:r>
            <w:r>
              <w:rPr>
                <w:rFonts w:ascii="宋体" w:hAnsi="宋体" w:cs="宋体"/>
                <w:color w:val="000000"/>
                <w:kern w:val="0"/>
                <w:sz w:val="18"/>
                <w:szCs w:val="18"/>
              </w:rPr>
              <w:t>1</w:t>
            </w:r>
            <w:r>
              <w:rPr>
                <w:rFonts w:ascii="宋体" w:hAnsi="宋体" w:cs="宋体" w:hint="eastAsia"/>
                <w:color w:val="000000"/>
                <w:kern w:val="0"/>
                <w:sz w:val="18"/>
                <w:szCs w:val="18"/>
              </w:rPr>
              <w:t>分</w:t>
            </w:r>
          </w:p>
        </w:tc>
        <w:tc>
          <w:tcPr>
            <w:tcW w:w="1844" w:type="dxa"/>
            <w:vMerge/>
            <w:tcBorders>
              <w:left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r>
      <w:tr w:rsidR="00420259" w:rsidTr="00B72082">
        <w:trPr>
          <w:trHeight w:val="312"/>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49"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2150" w:type="dxa"/>
            <w:vMerge/>
            <w:tcBorders>
              <w:left w:val="single" w:sz="8"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hint="eastAsia"/>
                <w:color w:val="000000"/>
                <w:sz w:val="18"/>
                <w:szCs w:val="18"/>
              </w:rPr>
              <w:t>县级奖项，每项得</w:t>
            </w:r>
            <w:r>
              <w:rPr>
                <w:rFonts w:ascii="宋体" w:hAnsi="宋体"/>
                <w:color w:val="000000"/>
                <w:sz w:val="18"/>
                <w:szCs w:val="18"/>
              </w:rPr>
              <w:t>0.5</w:t>
            </w:r>
            <w:r>
              <w:rPr>
                <w:rFonts w:ascii="宋体" w:hAnsi="宋体" w:hint="eastAsia"/>
                <w:color w:val="000000"/>
                <w:sz w:val="18"/>
                <w:szCs w:val="18"/>
              </w:rPr>
              <w:t>分，但累计不超过</w:t>
            </w:r>
            <w:r>
              <w:rPr>
                <w:rFonts w:ascii="宋体" w:hAnsi="宋体"/>
                <w:color w:val="000000"/>
                <w:sz w:val="18"/>
                <w:szCs w:val="18"/>
              </w:rPr>
              <w:t>1</w:t>
            </w:r>
            <w:r>
              <w:rPr>
                <w:rFonts w:ascii="宋体" w:hAnsi="宋体" w:hint="eastAsia"/>
                <w:color w:val="000000"/>
                <w:sz w:val="18"/>
                <w:szCs w:val="18"/>
              </w:rPr>
              <w:t>分</w:t>
            </w:r>
          </w:p>
        </w:tc>
        <w:tc>
          <w:tcPr>
            <w:tcW w:w="1844" w:type="dxa"/>
            <w:vMerge/>
            <w:tcBorders>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r>
      <w:tr w:rsidR="00420259" w:rsidTr="00B72082">
        <w:trPr>
          <w:trHeight w:val="312"/>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p>
        </w:tc>
        <w:tc>
          <w:tcPr>
            <w:tcW w:w="849" w:type="dxa"/>
            <w:vMerge/>
            <w:tcBorders>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p>
        </w:tc>
        <w:tc>
          <w:tcPr>
            <w:tcW w:w="2150" w:type="dxa"/>
            <w:vMerge/>
            <w:tcBorders>
              <w:left w:val="single" w:sz="8" w:space="0" w:color="auto"/>
              <w:bottom w:val="single" w:sz="8" w:space="0" w:color="000000"/>
              <w:right w:val="single" w:sz="4" w:space="0" w:color="auto"/>
            </w:tcBorders>
            <w:vAlign w:val="center"/>
          </w:tcPr>
          <w:p w:rsidR="00420259" w:rsidRDefault="00420259" w:rsidP="00B72082">
            <w:pPr>
              <w:rPr>
                <w:rFonts w:ascii="宋体" w:cs="宋体"/>
                <w:color w:val="000000"/>
                <w:kern w:val="0"/>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r>
              <w:rPr>
                <w:rFonts w:ascii="宋体" w:hAnsi="宋体" w:cs="宋体" w:hint="eastAsia"/>
                <w:color w:val="000000"/>
                <w:kern w:val="0"/>
                <w:sz w:val="18"/>
                <w:szCs w:val="18"/>
              </w:rPr>
              <w:t>条</w:t>
            </w: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r>
      <w:tr w:rsidR="00420259" w:rsidTr="00B72082">
        <w:trPr>
          <w:trHeight w:val="312"/>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tcBorders>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社会公益</w:t>
            </w:r>
          </w:p>
        </w:tc>
        <w:tc>
          <w:tcPr>
            <w:tcW w:w="849" w:type="dxa"/>
            <w:tcBorders>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c>
          <w:tcPr>
            <w:tcW w:w="2150" w:type="dxa"/>
            <w:tcBorders>
              <w:left w:val="single" w:sz="8" w:space="0" w:color="auto"/>
              <w:bottom w:val="single" w:sz="8" w:space="0" w:color="000000"/>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招标代理机构近三年进行社会公益活动情况（如向灾区捐赠），属于加分项。</w:t>
            </w: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每项可加</w:t>
            </w:r>
            <w:r>
              <w:rPr>
                <w:rFonts w:ascii="宋体" w:hAnsi="宋体" w:cs="宋体"/>
                <w:color w:val="000000"/>
                <w:kern w:val="0"/>
                <w:sz w:val="18"/>
                <w:szCs w:val="18"/>
              </w:rPr>
              <w:t>2.5</w:t>
            </w:r>
            <w:r>
              <w:rPr>
                <w:rFonts w:ascii="宋体" w:hAnsi="宋体" w:cs="宋体" w:hint="eastAsia"/>
                <w:color w:val="000000"/>
                <w:kern w:val="0"/>
                <w:sz w:val="18"/>
                <w:szCs w:val="18"/>
              </w:rPr>
              <w:t>分，最高</w:t>
            </w:r>
            <w:r>
              <w:rPr>
                <w:rFonts w:ascii="宋体" w:hAnsi="宋体" w:cs="宋体"/>
                <w:color w:val="000000"/>
                <w:kern w:val="0"/>
                <w:sz w:val="18"/>
                <w:szCs w:val="18"/>
              </w:rPr>
              <w:t>10</w:t>
            </w:r>
            <w:r>
              <w:rPr>
                <w:rFonts w:ascii="宋体" w:hAnsi="宋体" w:cs="宋体" w:hint="eastAsia"/>
                <w:color w:val="000000"/>
                <w:kern w:val="0"/>
                <w:sz w:val="18"/>
                <w:szCs w:val="18"/>
              </w:rPr>
              <w:t>分。若捐赠价值总额50万元以上，可得10分。</w:t>
            </w:r>
          </w:p>
        </w:tc>
      </w:tr>
      <w:tr w:rsidR="00420259" w:rsidTr="00B72082">
        <w:trPr>
          <w:trHeight w:val="375"/>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val="restart"/>
            <w:tcBorders>
              <w:top w:val="single" w:sz="4" w:space="0" w:color="auto"/>
              <w:left w:val="single" w:sz="8"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行政处罚记录</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25</w:t>
            </w:r>
            <w:r>
              <w:rPr>
                <w:rFonts w:ascii="宋体" w:hAnsi="宋体" w:cs="宋体"/>
                <w:color w:val="000000"/>
                <w:kern w:val="0"/>
                <w:sz w:val="18"/>
                <w:szCs w:val="18"/>
              </w:rPr>
              <w:t>%</w:t>
            </w:r>
          </w:p>
        </w:tc>
        <w:tc>
          <w:tcPr>
            <w:tcW w:w="2150" w:type="dxa"/>
            <w:vMerge w:val="restart"/>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考核招标代理机构的招标代理业务近三年来自工商、税务、财政、住房和城乡建设、发改委或其他政府部门以及银行、协会等机构的一般性处罚信息。</w:t>
            </w: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处罚信息数量</w:t>
            </w: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得分</w:t>
            </w:r>
          </w:p>
        </w:tc>
      </w:tr>
      <w:tr w:rsidR="00420259" w:rsidTr="00B72082">
        <w:trPr>
          <w:trHeight w:val="285"/>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top w:val="single" w:sz="4" w:space="0" w:color="auto"/>
              <w:left w:val="single" w:sz="8"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条以上</w:t>
            </w: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（同时信用等级自动降为</w:t>
            </w:r>
            <w:r>
              <w:rPr>
                <w:rFonts w:ascii="宋体" w:hAnsi="宋体" w:cs="宋体"/>
                <w:color w:val="000000"/>
                <w:kern w:val="0"/>
                <w:sz w:val="18"/>
                <w:szCs w:val="18"/>
              </w:rPr>
              <w:t>B</w:t>
            </w:r>
            <w:r>
              <w:rPr>
                <w:rFonts w:ascii="宋体" w:hAnsi="宋体" w:cs="宋体" w:hint="eastAsia"/>
                <w:color w:val="000000"/>
                <w:kern w:val="0"/>
                <w:sz w:val="18"/>
                <w:szCs w:val="18"/>
              </w:rPr>
              <w:t>级或以下）</w:t>
            </w:r>
          </w:p>
        </w:tc>
      </w:tr>
      <w:tr w:rsidR="00420259" w:rsidTr="00B72082">
        <w:trPr>
          <w:trHeight w:val="285"/>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top w:val="single" w:sz="4" w:space="0" w:color="auto"/>
              <w:left w:val="single" w:sz="8"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2~3</w:t>
            </w:r>
            <w:r>
              <w:rPr>
                <w:rFonts w:ascii="宋体" w:hAnsi="宋体" w:cs="宋体" w:hint="eastAsia"/>
                <w:color w:val="000000"/>
                <w:kern w:val="0"/>
                <w:sz w:val="18"/>
                <w:szCs w:val="18"/>
              </w:rPr>
              <w:t>条</w:t>
            </w: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-8</w:t>
            </w:r>
          </w:p>
        </w:tc>
      </w:tr>
      <w:tr w:rsidR="00420259" w:rsidTr="00B72082">
        <w:trPr>
          <w:trHeight w:val="285"/>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top w:val="single" w:sz="4" w:space="0" w:color="auto"/>
              <w:left w:val="single" w:sz="8"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条</w:t>
            </w: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-6</w:t>
            </w:r>
          </w:p>
        </w:tc>
      </w:tr>
      <w:tr w:rsidR="00420259" w:rsidTr="00B72082">
        <w:trPr>
          <w:trHeight w:val="285"/>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top w:val="single" w:sz="4" w:space="0" w:color="auto"/>
              <w:left w:val="single" w:sz="8"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0</w:t>
            </w: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r>
      <w:tr w:rsidR="00420259" w:rsidTr="00420259">
        <w:trPr>
          <w:trHeight w:val="1027"/>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tcBorders>
              <w:top w:val="single" w:sz="4" w:space="0" w:color="auto"/>
              <w:left w:val="single" w:sz="8"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招标代理违规行为记录</w:t>
            </w:r>
          </w:p>
        </w:tc>
        <w:tc>
          <w:tcPr>
            <w:tcW w:w="849"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25</w:t>
            </w:r>
            <w:r>
              <w:rPr>
                <w:rFonts w:ascii="宋体" w:hAnsi="宋体" w:cs="宋体"/>
                <w:color w:val="000000"/>
                <w:kern w:val="0"/>
                <w:sz w:val="18"/>
                <w:szCs w:val="18"/>
              </w:rPr>
              <w:t>%</w:t>
            </w:r>
          </w:p>
        </w:tc>
        <w:tc>
          <w:tcPr>
            <w:tcW w:w="215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考核招标代理机构的招标代理业务近三年是否发生违规操作。</w:t>
            </w: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满分</w:t>
            </w:r>
            <w:r>
              <w:rPr>
                <w:rFonts w:ascii="宋体" w:hAnsi="宋体" w:cs="宋体"/>
                <w:color w:val="000000"/>
                <w:kern w:val="0"/>
                <w:sz w:val="18"/>
                <w:szCs w:val="18"/>
              </w:rPr>
              <w:t>10</w:t>
            </w:r>
            <w:r>
              <w:rPr>
                <w:rFonts w:ascii="宋体" w:hAnsi="宋体" w:cs="宋体" w:hint="eastAsia"/>
                <w:color w:val="000000"/>
                <w:kern w:val="0"/>
                <w:sz w:val="18"/>
                <w:szCs w:val="18"/>
              </w:rPr>
              <w:t>分，每发生</w:t>
            </w:r>
            <w:r>
              <w:rPr>
                <w:rFonts w:ascii="宋体" w:hAnsi="宋体" w:cs="宋体"/>
                <w:color w:val="000000"/>
                <w:kern w:val="0"/>
                <w:sz w:val="18"/>
                <w:szCs w:val="18"/>
              </w:rPr>
              <w:t>1</w:t>
            </w:r>
            <w:r>
              <w:rPr>
                <w:rFonts w:ascii="宋体" w:hAnsi="宋体" w:cs="宋体" w:hint="eastAsia"/>
                <w:color w:val="000000"/>
                <w:kern w:val="0"/>
                <w:sz w:val="18"/>
                <w:szCs w:val="18"/>
              </w:rPr>
              <w:t>项不良记录扣</w:t>
            </w:r>
            <w:r>
              <w:rPr>
                <w:rFonts w:ascii="宋体" w:hAnsi="宋体" w:cs="宋体"/>
                <w:color w:val="000000"/>
                <w:kern w:val="0"/>
                <w:sz w:val="18"/>
                <w:szCs w:val="18"/>
              </w:rPr>
              <w:t>2</w:t>
            </w:r>
            <w:r>
              <w:rPr>
                <w:rFonts w:ascii="宋体" w:hAnsi="宋体" w:cs="宋体" w:hint="eastAsia"/>
                <w:color w:val="000000"/>
                <w:kern w:val="0"/>
                <w:sz w:val="18"/>
                <w:szCs w:val="18"/>
              </w:rPr>
              <w:t>分，最低</w:t>
            </w:r>
            <w:r>
              <w:rPr>
                <w:rFonts w:ascii="宋体" w:cs="宋体"/>
                <w:color w:val="000000"/>
                <w:kern w:val="0"/>
                <w:sz w:val="18"/>
                <w:szCs w:val="18"/>
              </w:rPr>
              <w:t>0</w:t>
            </w:r>
            <w:r>
              <w:rPr>
                <w:rFonts w:ascii="宋体" w:hAnsi="宋体" w:cs="宋体" w:hint="eastAsia"/>
                <w:color w:val="000000"/>
                <w:kern w:val="0"/>
                <w:sz w:val="18"/>
                <w:szCs w:val="18"/>
              </w:rPr>
              <w:t>分。</w:t>
            </w:r>
          </w:p>
        </w:tc>
      </w:tr>
      <w:tr w:rsidR="00420259" w:rsidTr="00B72082">
        <w:trPr>
          <w:trHeight w:val="1080"/>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val="restart"/>
            <w:tcBorders>
              <w:top w:val="single" w:sz="4" w:space="0" w:color="auto"/>
              <w:left w:val="single" w:sz="8"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失信记录</w:t>
            </w:r>
          </w:p>
        </w:tc>
        <w:tc>
          <w:tcPr>
            <w:tcW w:w="849"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10%</w:t>
            </w:r>
          </w:p>
        </w:tc>
        <w:tc>
          <w:tcPr>
            <w:tcW w:w="2150" w:type="dxa"/>
            <w:vMerge w:val="restart"/>
            <w:tcBorders>
              <w:top w:val="single" w:sz="4" w:space="0" w:color="auto"/>
              <w:left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考核招标代理机构的招标代理业务近三年是否处于司法和行政执法机构“失信被执行人名单”中且未采取补救措施。</w:t>
            </w: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存在失信行为</w:t>
            </w: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（同时信用等级自动降为</w:t>
            </w:r>
            <w:r>
              <w:rPr>
                <w:rFonts w:ascii="宋体" w:hAnsi="宋体" w:cs="宋体"/>
                <w:color w:val="000000"/>
                <w:kern w:val="0"/>
                <w:sz w:val="18"/>
                <w:szCs w:val="18"/>
              </w:rPr>
              <w:t>B</w:t>
            </w:r>
            <w:r>
              <w:rPr>
                <w:rFonts w:ascii="宋体" w:hAnsi="宋体" w:cs="宋体" w:hint="eastAsia"/>
                <w:color w:val="000000"/>
                <w:kern w:val="0"/>
                <w:sz w:val="18"/>
                <w:szCs w:val="18"/>
              </w:rPr>
              <w:t>级或以下）</w:t>
            </w:r>
          </w:p>
        </w:tc>
      </w:tr>
      <w:tr w:rsidR="00420259" w:rsidTr="00B72082">
        <w:trPr>
          <w:trHeight w:val="942"/>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left w:val="single" w:sz="8" w:space="0" w:color="auto"/>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p>
        </w:tc>
        <w:tc>
          <w:tcPr>
            <w:tcW w:w="849" w:type="dxa"/>
            <w:vMerge/>
            <w:tcBorders>
              <w:left w:val="single" w:sz="4" w:space="0" w:color="auto"/>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p>
        </w:tc>
        <w:tc>
          <w:tcPr>
            <w:tcW w:w="2150" w:type="dxa"/>
            <w:vMerge/>
            <w:tcBorders>
              <w:left w:val="single" w:sz="4" w:space="0" w:color="auto"/>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不存在失信行为</w:t>
            </w:r>
          </w:p>
        </w:tc>
        <w:tc>
          <w:tcPr>
            <w:tcW w:w="1844" w:type="dxa"/>
            <w:tcBorders>
              <w:top w:val="single" w:sz="4" w:space="0" w:color="auto"/>
              <w:left w:val="single" w:sz="4" w:space="0" w:color="auto"/>
              <w:bottom w:val="single" w:sz="4" w:space="0" w:color="auto"/>
              <w:right w:val="single" w:sz="4"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color w:val="000000"/>
                <w:kern w:val="0"/>
                <w:sz w:val="18"/>
                <w:szCs w:val="18"/>
              </w:rPr>
              <w:t>10</w:t>
            </w:r>
          </w:p>
        </w:tc>
      </w:tr>
      <w:tr w:rsidR="00420259" w:rsidTr="00420259">
        <w:trPr>
          <w:trHeight w:val="922"/>
        </w:trPr>
        <w:tc>
          <w:tcPr>
            <w:tcW w:w="992"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val="restart"/>
            <w:tcBorders>
              <w:top w:val="single" w:sz="4" w:space="0" w:color="auto"/>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守信记录</w:t>
            </w:r>
          </w:p>
        </w:tc>
        <w:tc>
          <w:tcPr>
            <w:tcW w:w="849" w:type="dxa"/>
            <w:vMerge w:val="restart"/>
            <w:tcBorders>
              <w:top w:val="single" w:sz="4" w:space="0" w:color="auto"/>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r>
              <w:rPr>
                <w:rFonts w:ascii="宋体" w:hAnsi="宋体" w:cs="宋体"/>
                <w:color w:val="000000"/>
                <w:kern w:val="0"/>
                <w:sz w:val="18"/>
                <w:szCs w:val="18"/>
              </w:rPr>
              <w:t>10%</w:t>
            </w:r>
          </w:p>
        </w:tc>
        <w:tc>
          <w:tcPr>
            <w:tcW w:w="2150" w:type="dxa"/>
            <w:vMerge w:val="restart"/>
            <w:tcBorders>
              <w:top w:val="single" w:sz="4" w:space="0" w:color="auto"/>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r>
              <w:rPr>
                <w:rFonts w:ascii="宋体" w:hAnsi="宋体" w:cs="宋体" w:hint="eastAsia"/>
                <w:color w:val="000000"/>
                <w:kern w:val="0"/>
                <w:sz w:val="18"/>
                <w:szCs w:val="18"/>
              </w:rPr>
              <w:t>考核招标代理机构的招标代理业务近三年签署诚信公约履行情况</w:t>
            </w:r>
          </w:p>
        </w:tc>
        <w:tc>
          <w:tcPr>
            <w:tcW w:w="2530" w:type="dxa"/>
            <w:tcBorders>
              <w:top w:val="single" w:sz="4" w:space="0" w:color="auto"/>
              <w:left w:val="nil"/>
              <w:bottom w:val="single" w:sz="8" w:space="0" w:color="auto"/>
              <w:right w:val="single" w:sz="8"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履行</w:t>
            </w:r>
          </w:p>
        </w:tc>
        <w:tc>
          <w:tcPr>
            <w:tcW w:w="1844" w:type="dxa"/>
            <w:tcBorders>
              <w:top w:val="single" w:sz="4" w:space="0" w:color="auto"/>
              <w:left w:val="nil"/>
              <w:bottom w:val="single" w:sz="8" w:space="0" w:color="auto"/>
              <w:right w:val="single" w:sz="8" w:space="0" w:color="auto"/>
            </w:tcBorders>
            <w:vAlign w:val="center"/>
          </w:tcPr>
          <w:p w:rsidR="00420259" w:rsidRDefault="00420259" w:rsidP="00B72082">
            <w:pPr>
              <w:rPr>
                <w:rFonts w:ascii="宋体" w:cs="宋体"/>
                <w:color w:val="000000"/>
                <w:kern w:val="0"/>
                <w:sz w:val="18"/>
                <w:szCs w:val="18"/>
              </w:rPr>
            </w:pPr>
            <w:r>
              <w:rPr>
                <w:rFonts w:ascii="宋体" w:cs="宋体" w:hint="eastAsia"/>
                <w:color w:val="000000"/>
                <w:kern w:val="0"/>
                <w:sz w:val="18"/>
                <w:szCs w:val="18"/>
              </w:rPr>
              <w:t>10</w:t>
            </w:r>
          </w:p>
        </w:tc>
      </w:tr>
      <w:tr w:rsidR="00420259" w:rsidTr="00B72082">
        <w:trPr>
          <w:trHeight w:val="967"/>
        </w:trPr>
        <w:tc>
          <w:tcPr>
            <w:tcW w:w="992" w:type="dxa"/>
            <w:vMerge/>
            <w:tcBorders>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p>
        </w:tc>
        <w:tc>
          <w:tcPr>
            <w:tcW w:w="851" w:type="dxa"/>
            <w:vMerge/>
            <w:tcBorders>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p>
        </w:tc>
        <w:tc>
          <w:tcPr>
            <w:tcW w:w="992" w:type="dxa"/>
            <w:vMerge/>
            <w:tcBorders>
              <w:top w:val="nil"/>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p>
        </w:tc>
        <w:tc>
          <w:tcPr>
            <w:tcW w:w="849" w:type="dxa"/>
            <w:vMerge/>
            <w:tcBorders>
              <w:top w:val="nil"/>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p>
        </w:tc>
        <w:tc>
          <w:tcPr>
            <w:tcW w:w="2150" w:type="dxa"/>
            <w:vMerge/>
            <w:tcBorders>
              <w:top w:val="nil"/>
              <w:left w:val="single" w:sz="8" w:space="0" w:color="auto"/>
              <w:bottom w:val="single" w:sz="8" w:space="0" w:color="000000"/>
              <w:right w:val="single" w:sz="8" w:space="0" w:color="auto"/>
            </w:tcBorders>
            <w:vAlign w:val="center"/>
          </w:tcPr>
          <w:p w:rsidR="00420259" w:rsidRDefault="00420259" w:rsidP="00B72082">
            <w:pPr>
              <w:rPr>
                <w:rFonts w:ascii="宋体" w:cs="宋体"/>
                <w:color w:val="000000"/>
                <w:kern w:val="0"/>
                <w:sz w:val="18"/>
                <w:szCs w:val="18"/>
              </w:rPr>
            </w:pPr>
          </w:p>
        </w:tc>
        <w:tc>
          <w:tcPr>
            <w:tcW w:w="2530" w:type="dxa"/>
            <w:tcBorders>
              <w:top w:val="nil"/>
              <w:left w:val="nil"/>
              <w:bottom w:val="single" w:sz="8" w:space="0" w:color="auto"/>
              <w:right w:val="single" w:sz="8" w:space="0" w:color="auto"/>
            </w:tcBorders>
            <w:vAlign w:val="center"/>
          </w:tcPr>
          <w:p w:rsidR="00420259" w:rsidRDefault="00420259" w:rsidP="00B72082">
            <w:pPr>
              <w:rPr>
                <w:rFonts w:ascii="宋体" w:cs="宋体"/>
                <w:color w:val="000000"/>
                <w:kern w:val="0"/>
                <w:sz w:val="18"/>
                <w:szCs w:val="18"/>
              </w:rPr>
            </w:pPr>
            <w:r>
              <w:rPr>
                <w:rFonts w:ascii="宋体" w:cs="宋体"/>
                <w:color w:val="000000"/>
                <w:kern w:val="0"/>
                <w:sz w:val="18"/>
                <w:szCs w:val="18"/>
              </w:rPr>
              <w:t>未履行</w:t>
            </w:r>
          </w:p>
        </w:tc>
        <w:tc>
          <w:tcPr>
            <w:tcW w:w="1844" w:type="dxa"/>
            <w:tcBorders>
              <w:top w:val="nil"/>
              <w:left w:val="nil"/>
              <w:bottom w:val="single" w:sz="8" w:space="0" w:color="auto"/>
              <w:right w:val="single" w:sz="8" w:space="0" w:color="auto"/>
            </w:tcBorders>
            <w:vAlign w:val="center"/>
          </w:tcPr>
          <w:p w:rsidR="00420259" w:rsidRDefault="00420259" w:rsidP="00B72082">
            <w:pPr>
              <w:rPr>
                <w:rFonts w:ascii="宋体" w:hAnsi="宋体" w:cs="宋体"/>
                <w:color w:val="000000"/>
                <w:kern w:val="0"/>
                <w:sz w:val="18"/>
                <w:szCs w:val="18"/>
              </w:rPr>
            </w:pPr>
            <w:r>
              <w:rPr>
                <w:rFonts w:ascii="宋体" w:hAnsi="宋体" w:cs="宋体" w:hint="eastAsia"/>
                <w:color w:val="000000"/>
                <w:kern w:val="0"/>
                <w:sz w:val="18"/>
                <w:szCs w:val="18"/>
              </w:rPr>
              <w:t>-10</w:t>
            </w:r>
          </w:p>
        </w:tc>
      </w:tr>
    </w:tbl>
    <w:p w:rsidR="002D600B" w:rsidRDefault="002D600B"/>
    <w:sectPr w:rsidR="002D60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00B" w:rsidRDefault="002D600B" w:rsidP="00420259">
      <w:r>
        <w:separator/>
      </w:r>
    </w:p>
  </w:endnote>
  <w:endnote w:type="continuationSeparator" w:id="1">
    <w:p w:rsidR="002D600B" w:rsidRDefault="002D600B" w:rsidP="00420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00B" w:rsidRDefault="002D600B" w:rsidP="00420259">
      <w:r>
        <w:separator/>
      </w:r>
    </w:p>
  </w:footnote>
  <w:footnote w:type="continuationSeparator" w:id="1">
    <w:p w:rsidR="002D600B" w:rsidRDefault="002D600B" w:rsidP="00420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14473"/>
    <w:multiLevelType w:val="singleLevel"/>
    <w:tmpl w:val="59414473"/>
    <w:lvl w:ilvl="0">
      <w:start w:val="2"/>
      <w:numFmt w:val="chineseCounting"/>
      <w:suff w:val="nothing"/>
      <w:lvlText w:val="%1、"/>
      <w:lvlJc w:val="left"/>
      <w:pPr>
        <w:ind w:left="0" w:firstLine="0"/>
      </w:pPr>
    </w:lvl>
  </w:abstractNum>
  <w:abstractNum w:abstractNumId="1">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
    <w:nsid w:val="76933334"/>
    <w:multiLevelType w:val="multilevel"/>
    <w:tmpl w:val="76933334"/>
    <w:lvl w:ilvl="0">
      <w:start w:val="1"/>
      <w:numFmt w:val="none"/>
      <w:lvlText w:val="%1——"/>
      <w:lvlJc w:val="left"/>
      <w:pPr>
        <w:tabs>
          <w:tab w:val="num" w:pos="907"/>
        </w:tabs>
        <w:ind w:left="964" w:hanging="544"/>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0259"/>
    <w:rsid w:val="002D600B"/>
    <w:rsid w:val="00420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59"/>
    <w:pPr>
      <w:widowControl w:val="0"/>
      <w:jc w:val="both"/>
    </w:pPr>
    <w:rPr>
      <w:rFonts w:ascii="Calibri" w:eastAsia="宋体" w:hAnsi="Calibri" w:cs="Times New Roman"/>
    </w:rPr>
  </w:style>
  <w:style w:type="paragraph" w:styleId="1">
    <w:name w:val="heading 1"/>
    <w:basedOn w:val="a"/>
    <w:next w:val="a"/>
    <w:link w:val="1Char"/>
    <w:qFormat/>
    <w:rsid w:val="0042025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42025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420259"/>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20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0259"/>
    <w:rPr>
      <w:sz w:val="18"/>
      <w:szCs w:val="18"/>
    </w:rPr>
  </w:style>
  <w:style w:type="paragraph" w:styleId="a4">
    <w:name w:val="footer"/>
    <w:basedOn w:val="a"/>
    <w:link w:val="Char0"/>
    <w:uiPriority w:val="99"/>
    <w:unhideWhenUsed/>
    <w:qFormat/>
    <w:rsid w:val="00420259"/>
    <w:pPr>
      <w:tabs>
        <w:tab w:val="center" w:pos="4153"/>
        <w:tab w:val="right" w:pos="8306"/>
      </w:tabs>
      <w:snapToGrid w:val="0"/>
      <w:jc w:val="left"/>
    </w:pPr>
    <w:rPr>
      <w:sz w:val="18"/>
      <w:szCs w:val="18"/>
    </w:rPr>
  </w:style>
  <w:style w:type="character" w:customStyle="1" w:styleId="Char0">
    <w:name w:val="页脚 Char"/>
    <w:basedOn w:val="a0"/>
    <w:link w:val="a4"/>
    <w:uiPriority w:val="99"/>
    <w:rsid w:val="00420259"/>
    <w:rPr>
      <w:sz w:val="18"/>
      <w:szCs w:val="18"/>
    </w:rPr>
  </w:style>
  <w:style w:type="character" w:customStyle="1" w:styleId="1Char">
    <w:name w:val="标题 1 Char"/>
    <w:basedOn w:val="a0"/>
    <w:link w:val="1"/>
    <w:rsid w:val="00420259"/>
    <w:rPr>
      <w:rFonts w:ascii="Times New Roman" w:eastAsia="宋体" w:hAnsi="Times New Roman" w:cs="Times New Roman"/>
      <w:b/>
      <w:bCs/>
      <w:kern w:val="44"/>
      <w:sz w:val="44"/>
      <w:szCs w:val="44"/>
    </w:rPr>
  </w:style>
  <w:style w:type="character" w:customStyle="1" w:styleId="2Char">
    <w:name w:val="标题 2 Char"/>
    <w:basedOn w:val="a0"/>
    <w:link w:val="2"/>
    <w:rsid w:val="00420259"/>
    <w:rPr>
      <w:rFonts w:ascii="Cambria" w:eastAsia="宋体" w:hAnsi="Cambria" w:cs="Times New Roman"/>
      <w:b/>
      <w:bCs/>
      <w:sz w:val="32"/>
      <w:szCs w:val="32"/>
    </w:rPr>
  </w:style>
  <w:style w:type="character" w:customStyle="1" w:styleId="3Char">
    <w:name w:val="标题 3 Char"/>
    <w:basedOn w:val="a0"/>
    <w:link w:val="3"/>
    <w:qFormat/>
    <w:rsid w:val="00420259"/>
    <w:rPr>
      <w:rFonts w:ascii="Times New Roman" w:eastAsia="宋体" w:hAnsi="Times New Roman" w:cs="Times New Roman"/>
      <w:b/>
      <w:bCs/>
      <w:sz w:val="32"/>
      <w:szCs w:val="32"/>
    </w:rPr>
  </w:style>
  <w:style w:type="character" w:styleId="a5">
    <w:name w:val="annotation reference"/>
    <w:basedOn w:val="a0"/>
    <w:qFormat/>
    <w:rsid w:val="00420259"/>
    <w:rPr>
      <w:rFonts w:cs="Times New Roman"/>
      <w:sz w:val="21"/>
      <w:szCs w:val="21"/>
    </w:rPr>
  </w:style>
  <w:style w:type="character" w:styleId="a6">
    <w:name w:val="Hyperlink"/>
    <w:basedOn w:val="a0"/>
    <w:uiPriority w:val="99"/>
    <w:unhideWhenUsed/>
    <w:qFormat/>
    <w:rsid w:val="00420259"/>
    <w:rPr>
      <w:color w:val="0000FF"/>
      <w:u w:val="single"/>
    </w:rPr>
  </w:style>
  <w:style w:type="character" w:styleId="a7">
    <w:name w:val="Strong"/>
    <w:basedOn w:val="a0"/>
    <w:uiPriority w:val="22"/>
    <w:qFormat/>
    <w:rsid w:val="00420259"/>
    <w:rPr>
      <w:b/>
      <w:bCs/>
    </w:rPr>
  </w:style>
  <w:style w:type="character" w:styleId="a8">
    <w:name w:val="page number"/>
    <w:basedOn w:val="a0"/>
    <w:qFormat/>
    <w:rsid w:val="00420259"/>
    <w:rPr>
      <w:rFonts w:ascii="Times New Roman" w:eastAsia="宋体" w:hAnsi="Times New Roman" w:cs="Times New Roman"/>
      <w:sz w:val="18"/>
    </w:rPr>
  </w:style>
  <w:style w:type="character" w:customStyle="1" w:styleId="apple-converted-space">
    <w:name w:val="apple-converted-space"/>
    <w:basedOn w:val="a0"/>
    <w:qFormat/>
    <w:rsid w:val="00420259"/>
  </w:style>
  <w:style w:type="character" w:customStyle="1" w:styleId="Char1">
    <w:name w:val="日期 Char"/>
    <w:basedOn w:val="a0"/>
    <w:link w:val="a9"/>
    <w:uiPriority w:val="99"/>
    <w:rsid w:val="00420259"/>
  </w:style>
  <w:style w:type="character" w:customStyle="1" w:styleId="NoSpacingChar">
    <w:name w:val="No Spacing Char"/>
    <w:basedOn w:val="a0"/>
    <w:link w:val="NoSpacing1"/>
    <w:qFormat/>
    <w:locked/>
    <w:rsid w:val="00420259"/>
    <w:rPr>
      <w:rFonts w:ascii="Times New Roman" w:hAnsi="Times New Roman"/>
      <w:szCs w:val="24"/>
    </w:rPr>
  </w:style>
  <w:style w:type="character" w:customStyle="1" w:styleId="Char2">
    <w:name w:val="批注框文本 Char"/>
    <w:basedOn w:val="a0"/>
    <w:link w:val="aa"/>
    <w:qFormat/>
    <w:rsid w:val="00420259"/>
    <w:rPr>
      <w:rFonts w:ascii="Times New Roman" w:hAnsi="Times New Roman"/>
      <w:sz w:val="18"/>
      <w:szCs w:val="18"/>
    </w:rPr>
  </w:style>
  <w:style w:type="character" w:customStyle="1" w:styleId="Char3">
    <w:name w:val="文档结构图 Char"/>
    <w:basedOn w:val="a0"/>
    <w:link w:val="ab"/>
    <w:qFormat/>
    <w:rsid w:val="00420259"/>
    <w:rPr>
      <w:rFonts w:ascii="宋体" w:hAnsi="Times New Roman"/>
      <w:sz w:val="18"/>
      <w:szCs w:val="18"/>
    </w:rPr>
  </w:style>
  <w:style w:type="character" w:customStyle="1" w:styleId="content1">
    <w:name w:val="content1"/>
    <w:basedOn w:val="a0"/>
    <w:qFormat/>
    <w:rsid w:val="00420259"/>
    <w:rPr>
      <w:rFonts w:cs="Times New Roman"/>
      <w:sz w:val="17"/>
      <w:szCs w:val="17"/>
    </w:rPr>
  </w:style>
  <w:style w:type="character" w:customStyle="1" w:styleId="Char4">
    <w:name w:val="批注文字 Char"/>
    <w:basedOn w:val="a0"/>
    <w:link w:val="ac"/>
    <w:rsid w:val="00420259"/>
  </w:style>
  <w:style w:type="character" w:customStyle="1" w:styleId="Char5">
    <w:name w:val="正文文本 Char"/>
    <w:basedOn w:val="a0"/>
    <w:link w:val="ad"/>
    <w:qFormat/>
    <w:rsid w:val="00420259"/>
    <w:rPr>
      <w:rFonts w:ascii="Times New Roman" w:hAnsi="Times New Roman"/>
      <w:szCs w:val="21"/>
    </w:rPr>
  </w:style>
  <w:style w:type="character" w:customStyle="1" w:styleId="line-height">
    <w:name w:val="line-height"/>
    <w:basedOn w:val="a0"/>
    <w:qFormat/>
    <w:rsid w:val="00420259"/>
    <w:rPr>
      <w:rFonts w:cs="Times New Roman"/>
    </w:rPr>
  </w:style>
  <w:style w:type="character" w:customStyle="1" w:styleId="Char6">
    <w:name w:val="批注主题 Char"/>
    <w:basedOn w:val="Char4"/>
    <w:link w:val="ae"/>
    <w:qFormat/>
    <w:rsid w:val="00420259"/>
    <w:rPr>
      <w:rFonts w:ascii="Times New Roman" w:hAnsi="Times New Roman"/>
      <w:b/>
      <w:bCs/>
      <w:szCs w:val="24"/>
    </w:rPr>
  </w:style>
  <w:style w:type="character" w:customStyle="1" w:styleId="Char10">
    <w:name w:val="页眉 Char1"/>
    <w:basedOn w:val="a0"/>
    <w:uiPriority w:val="99"/>
    <w:semiHidden/>
    <w:rsid w:val="00420259"/>
    <w:rPr>
      <w:rFonts w:ascii="Calibri" w:eastAsia="宋体" w:hAnsi="Calibri" w:cs="Times New Roman"/>
      <w:sz w:val="18"/>
      <w:szCs w:val="18"/>
    </w:rPr>
  </w:style>
  <w:style w:type="paragraph" w:styleId="ad">
    <w:name w:val="Body Text"/>
    <w:basedOn w:val="a"/>
    <w:link w:val="Char5"/>
    <w:qFormat/>
    <w:rsid w:val="00420259"/>
    <w:pPr>
      <w:spacing w:line="360" w:lineRule="auto"/>
    </w:pPr>
    <w:rPr>
      <w:rFonts w:ascii="Times New Roman" w:eastAsiaTheme="minorEastAsia" w:hAnsi="Times New Roman" w:cstheme="minorBidi"/>
      <w:szCs w:val="21"/>
    </w:rPr>
  </w:style>
  <w:style w:type="character" w:customStyle="1" w:styleId="Char11">
    <w:name w:val="正文文本 Char1"/>
    <w:basedOn w:val="a0"/>
    <w:link w:val="ad"/>
    <w:uiPriority w:val="99"/>
    <w:semiHidden/>
    <w:rsid w:val="00420259"/>
    <w:rPr>
      <w:rFonts w:ascii="Calibri" w:eastAsia="宋体" w:hAnsi="Calibri" w:cs="Times New Roman"/>
    </w:rPr>
  </w:style>
  <w:style w:type="paragraph" w:styleId="30">
    <w:name w:val="toc 3"/>
    <w:basedOn w:val="a"/>
    <w:next w:val="a"/>
    <w:uiPriority w:val="39"/>
    <w:qFormat/>
    <w:rsid w:val="00420259"/>
    <w:pPr>
      <w:widowControl/>
      <w:spacing w:after="100" w:line="276" w:lineRule="auto"/>
      <w:ind w:left="440"/>
      <w:jc w:val="left"/>
    </w:pPr>
    <w:rPr>
      <w:kern w:val="0"/>
      <w:sz w:val="22"/>
    </w:rPr>
  </w:style>
  <w:style w:type="paragraph" w:styleId="af">
    <w:name w:val="Normal (Web)"/>
    <w:basedOn w:val="a"/>
    <w:unhideWhenUsed/>
    <w:qFormat/>
    <w:rsid w:val="00420259"/>
    <w:pPr>
      <w:widowControl/>
      <w:spacing w:before="100" w:beforeAutospacing="1" w:after="100" w:afterAutospacing="1"/>
      <w:jc w:val="left"/>
    </w:pPr>
    <w:rPr>
      <w:rFonts w:ascii="宋体" w:hAnsi="宋体" w:cs="宋体"/>
      <w:kern w:val="0"/>
      <w:sz w:val="24"/>
      <w:szCs w:val="24"/>
    </w:rPr>
  </w:style>
  <w:style w:type="paragraph" w:styleId="ab">
    <w:name w:val="Document Map"/>
    <w:basedOn w:val="a"/>
    <w:link w:val="Char3"/>
    <w:qFormat/>
    <w:rsid w:val="00420259"/>
    <w:rPr>
      <w:rFonts w:ascii="宋体" w:eastAsiaTheme="minorEastAsia" w:hAnsi="Times New Roman" w:cstheme="minorBidi"/>
      <w:sz w:val="18"/>
      <w:szCs w:val="18"/>
    </w:rPr>
  </w:style>
  <w:style w:type="character" w:customStyle="1" w:styleId="Char12">
    <w:name w:val="文档结构图 Char1"/>
    <w:basedOn w:val="a0"/>
    <w:link w:val="ab"/>
    <w:uiPriority w:val="99"/>
    <w:semiHidden/>
    <w:rsid w:val="00420259"/>
    <w:rPr>
      <w:rFonts w:ascii="宋体" w:eastAsia="宋体" w:hAnsi="Calibri" w:cs="Times New Roman"/>
      <w:sz w:val="18"/>
      <w:szCs w:val="18"/>
    </w:rPr>
  </w:style>
  <w:style w:type="paragraph" w:styleId="20">
    <w:name w:val="toc 2"/>
    <w:basedOn w:val="a"/>
    <w:next w:val="a"/>
    <w:qFormat/>
    <w:rsid w:val="00420259"/>
    <w:pPr>
      <w:widowControl/>
      <w:spacing w:after="100" w:line="276" w:lineRule="auto"/>
      <w:ind w:left="220"/>
      <w:jc w:val="left"/>
    </w:pPr>
    <w:rPr>
      <w:kern w:val="0"/>
      <w:sz w:val="22"/>
    </w:rPr>
  </w:style>
  <w:style w:type="paragraph" w:styleId="a9">
    <w:name w:val="Date"/>
    <w:basedOn w:val="a"/>
    <w:next w:val="a"/>
    <w:link w:val="Char1"/>
    <w:uiPriority w:val="99"/>
    <w:unhideWhenUsed/>
    <w:rsid w:val="00420259"/>
    <w:pPr>
      <w:ind w:leftChars="2500" w:left="100"/>
    </w:pPr>
    <w:rPr>
      <w:rFonts w:asciiTheme="minorHAnsi" w:eastAsiaTheme="minorEastAsia" w:hAnsiTheme="minorHAnsi" w:cstheme="minorBidi"/>
    </w:rPr>
  </w:style>
  <w:style w:type="character" w:customStyle="1" w:styleId="Char13">
    <w:name w:val="日期 Char1"/>
    <w:basedOn w:val="a0"/>
    <w:link w:val="a9"/>
    <w:uiPriority w:val="99"/>
    <w:semiHidden/>
    <w:rsid w:val="00420259"/>
    <w:rPr>
      <w:rFonts w:ascii="Calibri" w:eastAsia="宋体" w:hAnsi="Calibri" w:cs="Times New Roman"/>
    </w:rPr>
  </w:style>
  <w:style w:type="paragraph" w:styleId="ac">
    <w:name w:val="annotation text"/>
    <w:basedOn w:val="a"/>
    <w:link w:val="Char4"/>
    <w:unhideWhenUsed/>
    <w:rsid w:val="00420259"/>
    <w:pPr>
      <w:jc w:val="left"/>
    </w:pPr>
    <w:rPr>
      <w:rFonts w:asciiTheme="minorHAnsi" w:eastAsiaTheme="minorEastAsia" w:hAnsiTheme="minorHAnsi" w:cstheme="minorBidi"/>
    </w:rPr>
  </w:style>
  <w:style w:type="character" w:customStyle="1" w:styleId="Char14">
    <w:name w:val="批注文字 Char1"/>
    <w:basedOn w:val="a0"/>
    <w:link w:val="ac"/>
    <w:uiPriority w:val="99"/>
    <w:semiHidden/>
    <w:rsid w:val="00420259"/>
    <w:rPr>
      <w:rFonts w:ascii="Calibri" w:eastAsia="宋体" w:hAnsi="Calibri" w:cs="Times New Roman"/>
    </w:rPr>
  </w:style>
  <w:style w:type="paragraph" w:styleId="aa">
    <w:name w:val="Balloon Text"/>
    <w:basedOn w:val="a"/>
    <w:link w:val="Char2"/>
    <w:qFormat/>
    <w:rsid w:val="00420259"/>
    <w:rPr>
      <w:rFonts w:ascii="Times New Roman" w:eastAsiaTheme="minorEastAsia" w:hAnsi="Times New Roman" w:cstheme="minorBidi"/>
      <w:sz w:val="18"/>
      <w:szCs w:val="18"/>
    </w:rPr>
  </w:style>
  <w:style w:type="character" w:customStyle="1" w:styleId="Char15">
    <w:name w:val="批注框文本 Char1"/>
    <w:basedOn w:val="a0"/>
    <w:link w:val="aa"/>
    <w:uiPriority w:val="99"/>
    <w:semiHidden/>
    <w:rsid w:val="00420259"/>
    <w:rPr>
      <w:rFonts w:ascii="Calibri" w:eastAsia="宋体" w:hAnsi="Calibri" w:cs="Times New Roman"/>
      <w:sz w:val="18"/>
      <w:szCs w:val="18"/>
    </w:rPr>
  </w:style>
  <w:style w:type="paragraph" w:styleId="ae">
    <w:name w:val="annotation subject"/>
    <w:basedOn w:val="ac"/>
    <w:next w:val="ac"/>
    <w:link w:val="Char6"/>
    <w:qFormat/>
    <w:rsid w:val="00420259"/>
    <w:rPr>
      <w:rFonts w:ascii="Times New Roman" w:hAnsi="Times New Roman"/>
      <w:b/>
      <w:bCs/>
      <w:szCs w:val="24"/>
    </w:rPr>
  </w:style>
  <w:style w:type="character" w:customStyle="1" w:styleId="Char16">
    <w:name w:val="批注主题 Char1"/>
    <w:basedOn w:val="Char14"/>
    <w:link w:val="ae"/>
    <w:uiPriority w:val="99"/>
    <w:semiHidden/>
    <w:rsid w:val="00420259"/>
    <w:rPr>
      <w:b/>
      <w:bCs/>
    </w:rPr>
  </w:style>
  <w:style w:type="paragraph" w:styleId="10">
    <w:name w:val="toc 1"/>
    <w:basedOn w:val="a"/>
    <w:next w:val="a"/>
    <w:uiPriority w:val="39"/>
    <w:qFormat/>
    <w:rsid w:val="00420259"/>
    <w:rPr>
      <w:rFonts w:ascii="Times New Roman" w:hAnsi="Times New Roman"/>
      <w:szCs w:val="24"/>
    </w:rPr>
  </w:style>
  <w:style w:type="character" w:customStyle="1" w:styleId="Char17">
    <w:name w:val="页脚 Char1"/>
    <w:basedOn w:val="a0"/>
    <w:uiPriority w:val="99"/>
    <w:semiHidden/>
    <w:rsid w:val="00420259"/>
    <w:rPr>
      <w:rFonts w:ascii="Calibri" w:eastAsia="宋体" w:hAnsi="Calibri" w:cs="Times New Roman"/>
      <w:sz w:val="18"/>
      <w:szCs w:val="18"/>
    </w:rPr>
  </w:style>
  <w:style w:type="paragraph" w:customStyle="1" w:styleId="af0">
    <w:name w:val="三级条标题"/>
    <w:basedOn w:val="af1"/>
    <w:next w:val="af2"/>
    <w:qFormat/>
    <w:rsid w:val="00420259"/>
    <w:pPr>
      <w:numPr>
        <w:ilvl w:val="0"/>
      </w:numPr>
      <w:outlineLvl w:val="4"/>
    </w:pPr>
  </w:style>
  <w:style w:type="paragraph" w:customStyle="1" w:styleId="21">
    <w:name w:val="封面标准号2"/>
    <w:basedOn w:val="a"/>
    <w:qFormat/>
    <w:rsid w:val="00420259"/>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Heading2">
    <w:name w:val="Heading 2"/>
    <w:basedOn w:val="a"/>
    <w:semiHidden/>
    <w:qFormat/>
    <w:rsid w:val="00420259"/>
    <w:pPr>
      <w:ind w:left="141"/>
      <w:jc w:val="left"/>
      <w:outlineLvl w:val="2"/>
    </w:pPr>
    <w:rPr>
      <w:rFonts w:ascii="宋体" w:hAnsi="宋体"/>
      <w:kern w:val="0"/>
      <w:sz w:val="28"/>
      <w:szCs w:val="28"/>
      <w:lang w:eastAsia="en-US"/>
    </w:rPr>
  </w:style>
  <w:style w:type="paragraph" w:customStyle="1" w:styleId="ListParagraph1">
    <w:name w:val="List Paragraph1"/>
    <w:basedOn w:val="a"/>
    <w:qFormat/>
    <w:rsid w:val="00420259"/>
    <w:pPr>
      <w:ind w:firstLineChars="200" w:firstLine="420"/>
    </w:pPr>
    <w:rPr>
      <w:rFonts w:ascii="Times New Roman" w:hAnsi="Times New Roman"/>
      <w:szCs w:val="24"/>
    </w:rPr>
  </w:style>
  <w:style w:type="paragraph" w:customStyle="1" w:styleId="af3">
    <w:name w:val="四级条标题"/>
    <w:basedOn w:val="af0"/>
    <w:next w:val="af2"/>
    <w:qFormat/>
    <w:rsid w:val="00420259"/>
    <w:pPr>
      <w:numPr>
        <w:ilvl w:val="5"/>
      </w:numPr>
      <w:outlineLvl w:val="5"/>
    </w:pPr>
  </w:style>
  <w:style w:type="paragraph" w:customStyle="1" w:styleId="af4">
    <w:name w:val="前言、引言标题"/>
    <w:next w:val="a"/>
    <w:qFormat/>
    <w:rsid w:val="00420259"/>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5">
    <w:name w:val="列项——（一级）"/>
    <w:rsid w:val="00420259"/>
    <w:pPr>
      <w:widowControl w:val="0"/>
      <w:tabs>
        <w:tab w:val="left" w:pos="907"/>
      </w:tabs>
      <w:ind w:left="964" w:hanging="544"/>
      <w:jc w:val="both"/>
    </w:pPr>
    <w:rPr>
      <w:rFonts w:ascii="宋体" w:eastAsia="宋体" w:hAnsi="Times New Roman" w:cs="Times New Roman"/>
      <w:kern w:val="0"/>
      <w:szCs w:val="20"/>
    </w:rPr>
  </w:style>
  <w:style w:type="paragraph" w:customStyle="1" w:styleId="af6">
    <w:name w:val="图表脚注"/>
    <w:next w:val="a"/>
    <w:qFormat/>
    <w:rsid w:val="00420259"/>
    <w:pPr>
      <w:spacing w:after="200" w:line="276" w:lineRule="auto"/>
      <w:ind w:leftChars="200" w:left="200" w:hangingChars="100" w:hanging="100"/>
      <w:jc w:val="both"/>
    </w:pPr>
    <w:rPr>
      <w:rFonts w:ascii="宋体" w:eastAsia="宋体" w:hAnsi="Calibri" w:cs="Times New Roman"/>
      <w:kern w:val="0"/>
      <w:sz w:val="18"/>
    </w:rPr>
  </w:style>
  <w:style w:type="paragraph" w:customStyle="1" w:styleId="11">
    <w:name w:val="列出段落1"/>
    <w:basedOn w:val="a"/>
    <w:uiPriority w:val="34"/>
    <w:qFormat/>
    <w:rsid w:val="00420259"/>
    <w:pPr>
      <w:ind w:firstLineChars="200" w:firstLine="420"/>
    </w:pPr>
  </w:style>
  <w:style w:type="paragraph" w:customStyle="1" w:styleId="af7">
    <w:name w:val="一级条标题"/>
    <w:next w:val="af2"/>
    <w:qFormat/>
    <w:rsid w:val="00420259"/>
    <w:pPr>
      <w:outlineLvl w:val="2"/>
    </w:pPr>
    <w:rPr>
      <w:rFonts w:ascii="Times New Roman" w:eastAsia="黑体" w:hAnsi="Times New Roman" w:cs="Times New Roman"/>
      <w:kern w:val="0"/>
      <w:szCs w:val="20"/>
    </w:rPr>
  </w:style>
  <w:style w:type="paragraph" w:customStyle="1" w:styleId="TOCHeading1">
    <w:name w:val="TOC Heading1"/>
    <w:basedOn w:val="1"/>
    <w:next w:val="a"/>
    <w:qFormat/>
    <w:rsid w:val="00420259"/>
    <w:pPr>
      <w:widowControl/>
      <w:spacing w:before="480" w:after="0" w:line="276" w:lineRule="auto"/>
      <w:jc w:val="left"/>
      <w:outlineLvl w:val="9"/>
    </w:pPr>
    <w:rPr>
      <w:rFonts w:ascii="Cambria" w:hAnsi="Cambria"/>
      <w:color w:val="365F91"/>
      <w:kern w:val="0"/>
      <w:sz w:val="28"/>
      <w:szCs w:val="28"/>
    </w:rPr>
  </w:style>
  <w:style w:type="paragraph" w:customStyle="1" w:styleId="af8">
    <w:name w:val="章标题"/>
    <w:next w:val="af2"/>
    <w:qFormat/>
    <w:rsid w:val="00420259"/>
    <w:pPr>
      <w:spacing w:beforeLines="50" w:afterLines="50"/>
      <w:jc w:val="both"/>
      <w:outlineLvl w:val="1"/>
    </w:pPr>
    <w:rPr>
      <w:rFonts w:ascii="黑体" w:eastAsia="黑体" w:hAnsi="Times New Roman" w:cs="Times New Roman"/>
      <w:kern w:val="0"/>
      <w:szCs w:val="20"/>
    </w:rPr>
  </w:style>
  <w:style w:type="paragraph" w:customStyle="1" w:styleId="Default">
    <w:name w:val="Default"/>
    <w:rsid w:val="00420259"/>
    <w:pPr>
      <w:widowControl w:val="0"/>
      <w:autoSpaceDE w:val="0"/>
      <w:autoSpaceDN w:val="0"/>
      <w:adjustRightInd w:val="0"/>
    </w:pPr>
    <w:rPr>
      <w:rFonts w:ascii="华文细黑" w:eastAsia="华文细黑" w:hAnsi="Times New Roman" w:cs="华文细黑"/>
      <w:color w:val="000000"/>
      <w:kern w:val="0"/>
      <w:sz w:val="24"/>
      <w:szCs w:val="24"/>
    </w:rPr>
  </w:style>
  <w:style w:type="paragraph" w:customStyle="1" w:styleId="af9">
    <w:name w:val="五级条标题"/>
    <w:basedOn w:val="af3"/>
    <w:next w:val="af2"/>
    <w:qFormat/>
    <w:rsid w:val="00420259"/>
    <w:pPr>
      <w:numPr>
        <w:ilvl w:val="6"/>
      </w:numPr>
      <w:outlineLvl w:val="6"/>
    </w:pPr>
  </w:style>
  <w:style w:type="paragraph" w:customStyle="1" w:styleId="af1">
    <w:name w:val="二级条标题"/>
    <w:basedOn w:val="af7"/>
    <w:next w:val="af2"/>
    <w:qFormat/>
    <w:rsid w:val="00420259"/>
    <w:pPr>
      <w:numPr>
        <w:ilvl w:val="3"/>
      </w:numPr>
      <w:outlineLvl w:val="3"/>
    </w:pPr>
  </w:style>
  <w:style w:type="paragraph" w:customStyle="1" w:styleId="afa">
    <w:name w:val="实施日期"/>
    <w:basedOn w:val="a"/>
    <w:qFormat/>
    <w:rsid w:val="00420259"/>
    <w:pPr>
      <w:framePr w:w="4000" w:h="473" w:hRule="exact" w:vSpace="180" w:wrap="around" w:hAnchor="margin" w:xAlign="right" w:y="13511" w:anchorLock="1"/>
      <w:widowControl/>
      <w:ind w:left="2415" w:hanging="420"/>
      <w:jc w:val="right"/>
    </w:pPr>
    <w:rPr>
      <w:rFonts w:ascii="Times New Roman" w:eastAsia="黑体" w:hAnsi="Times New Roman"/>
      <w:kern w:val="0"/>
      <w:sz w:val="28"/>
      <w:szCs w:val="20"/>
    </w:rPr>
  </w:style>
  <w:style w:type="paragraph" w:customStyle="1" w:styleId="NoSpacing1">
    <w:name w:val="No Spacing1"/>
    <w:link w:val="NoSpacingChar"/>
    <w:qFormat/>
    <w:rsid w:val="00420259"/>
    <w:pPr>
      <w:widowControl w:val="0"/>
      <w:jc w:val="both"/>
    </w:pPr>
    <w:rPr>
      <w:rFonts w:ascii="Times New Roman" w:hAnsi="Times New Roman"/>
      <w:szCs w:val="24"/>
    </w:rPr>
  </w:style>
  <w:style w:type="paragraph" w:styleId="TOC">
    <w:name w:val="TOC Heading"/>
    <w:basedOn w:val="1"/>
    <w:next w:val="a"/>
    <w:uiPriority w:val="39"/>
    <w:qFormat/>
    <w:rsid w:val="00420259"/>
    <w:pPr>
      <w:widowControl/>
      <w:spacing w:before="480" w:after="0" w:line="276" w:lineRule="auto"/>
      <w:jc w:val="left"/>
      <w:outlineLvl w:val="9"/>
    </w:pPr>
    <w:rPr>
      <w:rFonts w:ascii="Cambria" w:hAnsi="Cambria"/>
      <w:color w:val="365F91"/>
      <w:kern w:val="0"/>
      <w:sz w:val="28"/>
      <w:szCs w:val="28"/>
    </w:rPr>
  </w:style>
  <w:style w:type="paragraph" w:customStyle="1" w:styleId="af2">
    <w:name w:val="段"/>
    <w:qFormat/>
    <w:rsid w:val="00420259"/>
    <w:pPr>
      <w:autoSpaceDE w:val="0"/>
      <w:autoSpaceDN w:val="0"/>
      <w:ind w:firstLineChars="200" w:firstLine="200"/>
      <w:jc w:val="both"/>
    </w:pPr>
    <w:rPr>
      <w:rFonts w:ascii="宋体" w:eastAsia="宋体" w:hAnsi="Times New Roman" w:cs="Times New Roman"/>
      <w:kern w:val="0"/>
      <w:szCs w:val="20"/>
    </w:rPr>
  </w:style>
  <w:style w:type="table" w:styleId="afb">
    <w:name w:val="Table Grid"/>
    <w:basedOn w:val="a1"/>
    <w:uiPriority w:val="59"/>
    <w:qFormat/>
    <w:rsid w:val="00420259"/>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714</Words>
  <Characters>4070</Characters>
  <Application>Microsoft Office Word</Application>
  <DocSecurity>0</DocSecurity>
  <Lines>33</Lines>
  <Paragraphs>9</Paragraphs>
  <ScaleCrop>false</ScaleCrop>
  <Company>china</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2017-09-15T01:03:00Z</dcterms:created>
  <dcterms:modified xsi:type="dcterms:W3CDTF">2017-09-15T01:09:00Z</dcterms:modified>
</cp:coreProperties>
</file>