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华文新魏" w:eastAsia="华文新魏"/>
          <w:color w:val="auto"/>
          <w:sz w:val="52"/>
          <w:szCs w:val="52"/>
          <w:lang w:eastAsia="zh-CN"/>
        </w:rPr>
      </w:pPr>
      <w:r>
        <w:rPr>
          <w:rFonts w:hint="eastAsia" w:ascii="华文新魏" w:eastAsia="华文新魏"/>
          <w:color w:val="auto"/>
          <w:sz w:val="52"/>
          <w:szCs w:val="52"/>
          <w:lang w:eastAsia="zh-CN"/>
        </w:rPr>
        <w:t>中山海关公务车辆2018-2020年定点加油采购项目</w:t>
      </w:r>
    </w:p>
    <w:p>
      <w:pPr>
        <w:spacing w:line="1200" w:lineRule="exact"/>
        <w:jc w:val="center"/>
        <w:rPr>
          <w:rFonts w:hint="eastAsia" w:ascii="华文新魏" w:eastAsia="华文新魏"/>
          <w:color w:val="auto"/>
          <w:sz w:val="52"/>
          <w:szCs w:val="52"/>
        </w:rPr>
      </w:pPr>
      <w:r>
        <w:rPr>
          <w:rFonts w:hint="eastAsia" w:ascii="华文新魏" w:eastAsia="华文新魏"/>
          <w:color w:val="auto"/>
          <w:sz w:val="52"/>
          <w:szCs w:val="52"/>
        </w:rPr>
        <w:t xml:space="preserve">（项目编号: </w:t>
      </w:r>
      <w:r>
        <w:rPr>
          <w:rFonts w:hint="eastAsia" w:ascii="华文新魏" w:eastAsia="华文新魏"/>
          <w:color w:val="auto"/>
          <w:sz w:val="52"/>
          <w:szCs w:val="52"/>
          <w:lang w:eastAsia="zh-CN"/>
        </w:rPr>
        <w:t>GDHLCG-20180525</w:t>
      </w:r>
      <w:r>
        <w:rPr>
          <w:rFonts w:hint="eastAsia" w:ascii="华文新魏" w:eastAsia="华文新魏"/>
          <w:color w:val="auto"/>
          <w:sz w:val="52"/>
          <w:szCs w:val="52"/>
        </w:rPr>
        <w:t>）</w:t>
      </w:r>
    </w:p>
    <w:p>
      <w:pPr>
        <w:spacing w:line="1200" w:lineRule="exact"/>
        <w:jc w:val="center"/>
        <w:rPr>
          <w:rFonts w:hint="eastAsia" w:ascii="华文新魏" w:eastAsia="华文新魏"/>
          <w:color w:val="auto"/>
          <w:sz w:val="24"/>
          <w:szCs w:val="24"/>
        </w:rPr>
      </w:pPr>
    </w:p>
    <w:p>
      <w:pPr>
        <w:spacing w:line="780" w:lineRule="exact"/>
        <w:jc w:val="center"/>
        <w:rPr>
          <w:rFonts w:hint="eastAsia" w:ascii="华文新魏" w:eastAsia="华文新魏"/>
          <w:b/>
          <w:color w:val="auto"/>
          <w:spacing w:val="20"/>
          <w:kern w:val="10"/>
          <w:sz w:val="96"/>
          <w:szCs w:val="96"/>
        </w:rPr>
      </w:pPr>
      <w:r>
        <w:rPr>
          <w:rFonts w:hint="eastAsia" w:ascii="华文新魏" w:eastAsia="华文新魏"/>
          <w:b/>
          <w:color w:val="auto"/>
          <w:spacing w:val="20"/>
          <w:kern w:val="10"/>
          <w:sz w:val="96"/>
          <w:szCs w:val="96"/>
        </w:rPr>
        <w:t>招标文件</w:t>
      </w:r>
    </w:p>
    <w:p>
      <w:pPr>
        <w:spacing w:line="780" w:lineRule="exact"/>
        <w:jc w:val="center"/>
        <w:rPr>
          <w:rFonts w:hint="eastAsia" w:ascii="华文新魏" w:eastAsia="华文新魏"/>
          <w:b/>
          <w:color w:val="auto"/>
          <w:spacing w:val="20"/>
          <w:kern w:val="10"/>
          <w:sz w:val="36"/>
          <w:szCs w:val="36"/>
        </w:rPr>
      </w:pPr>
    </w:p>
    <w:p>
      <w:pPr>
        <w:spacing w:line="360" w:lineRule="auto"/>
        <w:jc w:val="both"/>
        <w:textAlignment w:val="top"/>
        <w:rPr>
          <w:rFonts w:eastAsia="华文新魏"/>
          <w:b/>
          <w:color w:val="auto"/>
          <w:spacing w:val="100"/>
          <w:sz w:val="30"/>
          <w:szCs w:val="30"/>
        </w:rPr>
      </w:pPr>
    </w:p>
    <w:p>
      <w:pPr>
        <w:spacing w:line="360" w:lineRule="auto"/>
        <w:jc w:val="center"/>
        <w:textAlignment w:val="top"/>
        <w:rPr>
          <w:rFonts w:eastAsia="华文新魏"/>
          <w:b/>
          <w:color w:val="auto"/>
          <w:spacing w:val="100"/>
          <w:sz w:val="30"/>
          <w:szCs w:val="30"/>
        </w:rPr>
      </w:pPr>
      <w:r>
        <w:rPr>
          <w:color w:val="auto"/>
          <w:highlight w:val="none"/>
        </w:rPr>
        <w:drawing>
          <wp:inline distT="0" distB="0" distL="114300" distR="114300">
            <wp:extent cx="2767330" cy="2244725"/>
            <wp:effectExtent l="0" t="0" r="139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2767330" cy="2244725"/>
                    </a:xfrm>
                    <a:prstGeom prst="rect">
                      <a:avLst/>
                    </a:prstGeom>
                    <a:noFill/>
                    <a:ln w="9525">
                      <a:noFill/>
                    </a:ln>
                  </pic:spPr>
                </pic:pic>
              </a:graphicData>
            </a:graphic>
          </wp:inline>
        </w:drawing>
      </w:r>
    </w:p>
    <w:p>
      <w:pPr>
        <w:spacing w:line="360" w:lineRule="auto"/>
        <w:jc w:val="center"/>
        <w:textAlignment w:val="top"/>
        <w:rPr>
          <w:rFonts w:ascii="宋体" w:hAnsi="宋体" w:cs="宋体"/>
          <w:color w:val="auto"/>
          <w:sz w:val="24"/>
        </w:rPr>
      </w:pPr>
    </w:p>
    <w:p>
      <w:pPr>
        <w:spacing w:line="360" w:lineRule="auto"/>
        <w:jc w:val="center"/>
        <w:textAlignment w:val="top"/>
        <w:rPr>
          <w:rFonts w:ascii="宋体" w:hAnsi="宋体" w:cs="宋体"/>
          <w:color w:val="auto"/>
          <w:sz w:val="24"/>
        </w:rPr>
      </w:pPr>
    </w:p>
    <w:p>
      <w:pPr>
        <w:spacing w:line="360" w:lineRule="auto"/>
        <w:jc w:val="center"/>
        <w:textAlignment w:val="top"/>
        <w:rPr>
          <w:rFonts w:eastAsia="华文新魏"/>
          <w:b/>
          <w:color w:val="auto"/>
          <w:spacing w:val="100"/>
          <w:sz w:val="30"/>
          <w:szCs w:val="30"/>
        </w:rPr>
      </w:pPr>
    </w:p>
    <w:p>
      <w:pPr>
        <w:spacing w:line="360" w:lineRule="auto"/>
        <w:jc w:val="center"/>
        <w:textAlignment w:val="top"/>
        <w:rPr>
          <w:rFonts w:eastAsia="华文新魏"/>
          <w:b/>
          <w:color w:val="auto"/>
          <w:spacing w:val="100"/>
          <w:sz w:val="30"/>
          <w:szCs w:val="30"/>
        </w:rPr>
      </w:pPr>
    </w:p>
    <w:p>
      <w:pPr>
        <w:spacing w:line="360" w:lineRule="auto"/>
        <w:jc w:val="center"/>
        <w:textAlignment w:val="top"/>
        <w:rPr>
          <w:rFonts w:hint="eastAsia" w:eastAsia="华文新魏"/>
          <w:b/>
          <w:color w:val="auto"/>
          <w:sz w:val="30"/>
          <w:szCs w:val="30"/>
          <w:lang w:eastAsia="zh-CN"/>
        </w:rPr>
      </w:pPr>
      <w:r>
        <w:rPr>
          <w:rFonts w:hint="eastAsia" w:eastAsia="华文新魏"/>
          <w:b/>
          <w:color w:val="auto"/>
          <w:sz w:val="30"/>
          <w:szCs w:val="30"/>
          <w:lang w:eastAsia="zh-CN"/>
        </w:rPr>
        <w:t>广东华联建设投资管理股份有限公司中山分公司</w:t>
      </w:r>
    </w:p>
    <w:p>
      <w:pPr>
        <w:spacing w:line="500" w:lineRule="exact"/>
        <w:jc w:val="center"/>
        <w:rPr>
          <w:rFonts w:eastAsia="华文新魏"/>
          <w:b/>
          <w:color w:val="auto"/>
          <w:spacing w:val="80"/>
          <w:sz w:val="30"/>
          <w:szCs w:val="30"/>
        </w:rPr>
        <w:sectPr>
          <w:headerReference r:id="rId5" w:type="first"/>
          <w:headerReference r:id="rId3" w:type="default"/>
          <w:footerReference r:id="rId6" w:type="default"/>
          <w:headerReference r:id="rId4" w:type="even"/>
          <w:footerReference r:id="rId7" w:type="even"/>
          <w:pgSz w:w="11907" w:h="16840"/>
          <w:pgMar w:top="1418" w:right="1418" w:bottom="1361" w:left="1418" w:header="851" w:footer="851" w:gutter="0"/>
          <w:pgNumType w:start="1"/>
          <w:cols w:space="720" w:num="1"/>
          <w:titlePg/>
          <w:docGrid w:linePitch="312" w:charSpace="0"/>
        </w:sectPr>
      </w:pPr>
      <w:r>
        <w:rPr>
          <w:rFonts w:hint="eastAsia" w:eastAsia="华文新魏"/>
          <w:b/>
          <w:color w:val="auto"/>
          <w:spacing w:val="80"/>
          <w:sz w:val="30"/>
          <w:szCs w:val="30"/>
        </w:rPr>
        <w:t>201</w:t>
      </w:r>
      <w:r>
        <w:rPr>
          <w:rFonts w:hint="eastAsia" w:eastAsia="华文新魏"/>
          <w:b/>
          <w:color w:val="auto"/>
          <w:spacing w:val="80"/>
          <w:sz w:val="30"/>
          <w:szCs w:val="30"/>
          <w:lang w:val="en-US" w:eastAsia="zh-CN"/>
        </w:rPr>
        <w:t>8</w:t>
      </w:r>
      <w:r>
        <w:rPr>
          <w:rFonts w:hint="eastAsia" w:eastAsia="华文新魏"/>
          <w:b/>
          <w:color w:val="auto"/>
          <w:spacing w:val="80"/>
          <w:sz w:val="30"/>
          <w:szCs w:val="30"/>
        </w:rPr>
        <w:t>年</w:t>
      </w:r>
      <w:r>
        <w:rPr>
          <w:rFonts w:hint="eastAsia" w:eastAsia="华文新魏"/>
          <w:b/>
          <w:color w:val="auto"/>
          <w:spacing w:val="80"/>
          <w:sz w:val="30"/>
          <w:szCs w:val="30"/>
          <w:lang w:val="en-US" w:eastAsia="zh-CN"/>
        </w:rPr>
        <w:t>6</w:t>
      </w:r>
      <w:r>
        <w:rPr>
          <w:rFonts w:hint="eastAsia" w:eastAsia="华文新魏"/>
          <w:b/>
          <w:color w:val="auto"/>
          <w:spacing w:val="80"/>
          <w:sz w:val="30"/>
          <w:szCs w:val="30"/>
        </w:rPr>
        <w:t>月</w:t>
      </w:r>
      <w:r>
        <w:rPr>
          <w:rFonts w:hint="eastAsia" w:ascii="华文新魏" w:eastAsia="华文新魏"/>
          <w:b/>
          <w:color w:val="auto"/>
          <w:spacing w:val="80"/>
          <w:sz w:val="30"/>
          <w:szCs w:val="30"/>
        </w:rPr>
        <w:t xml:space="preserve"> </w:t>
      </w:r>
    </w:p>
    <w:p>
      <w:pPr>
        <w:spacing w:line="360" w:lineRule="auto"/>
        <w:rPr>
          <w:rFonts w:eastAsia="黑体"/>
          <w:b/>
          <w:color w:val="auto"/>
          <w:sz w:val="44"/>
        </w:rPr>
      </w:pPr>
    </w:p>
    <w:p>
      <w:pPr>
        <w:tabs>
          <w:tab w:val="left" w:pos="7260"/>
        </w:tabs>
        <w:spacing w:line="360" w:lineRule="auto"/>
        <w:rPr>
          <w:rFonts w:eastAsia="黑体"/>
          <w:b/>
          <w:color w:val="auto"/>
          <w:sz w:val="44"/>
        </w:rPr>
      </w:pPr>
      <w:r>
        <w:rPr>
          <w:rFonts w:hint="eastAsia" w:eastAsia="黑体"/>
          <w:b/>
          <w:color w:val="auto"/>
          <w:sz w:val="44"/>
        </w:rPr>
        <w:t xml:space="preserve">                     </w:t>
      </w:r>
    </w:p>
    <w:p>
      <w:pPr>
        <w:spacing w:line="360" w:lineRule="auto"/>
        <w:jc w:val="center"/>
        <w:rPr>
          <w:rFonts w:eastAsia="黑体"/>
          <w:b/>
          <w:color w:val="auto"/>
          <w:sz w:val="44"/>
          <w:szCs w:val="44"/>
        </w:rPr>
      </w:pPr>
      <w:r>
        <w:rPr>
          <w:rFonts w:hint="eastAsia" w:eastAsia="黑体"/>
          <w:b/>
          <w:color w:val="auto"/>
          <w:sz w:val="44"/>
          <w:szCs w:val="44"/>
        </w:rPr>
        <w:t>目   录</w:t>
      </w:r>
    </w:p>
    <w:p>
      <w:pPr>
        <w:spacing w:line="360" w:lineRule="auto"/>
        <w:jc w:val="center"/>
        <w:rPr>
          <w:rFonts w:eastAsia="黑体"/>
          <w:b/>
          <w:color w:val="auto"/>
          <w:sz w:val="36"/>
          <w:szCs w:val="36"/>
        </w:rPr>
      </w:pPr>
    </w:p>
    <w:p>
      <w:pPr>
        <w:spacing w:line="360" w:lineRule="auto"/>
        <w:ind w:left="1079" w:leftChars="514" w:firstLine="1260" w:firstLineChars="350"/>
        <w:rPr>
          <w:rFonts w:eastAsia="黑体"/>
          <w:color w:val="auto"/>
          <w:sz w:val="36"/>
          <w:szCs w:val="36"/>
        </w:rPr>
      </w:pPr>
      <w:r>
        <w:rPr>
          <w:rFonts w:hint="eastAsia" w:eastAsia="黑体"/>
          <w:color w:val="auto"/>
          <w:sz w:val="36"/>
          <w:szCs w:val="36"/>
        </w:rPr>
        <w:t>第一部分     投标邀请函</w:t>
      </w:r>
    </w:p>
    <w:p>
      <w:pPr>
        <w:spacing w:line="360" w:lineRule="auto"/>
        <w:ind w:left="1079" w:leftChars="514" w:firstLine="1260" w:firstLineChars="350"/>
        <w:rPr>
          <w:rFonts w:eastAsia="黑体"/>
          <w:color w:val="auto"/>
          <w:sz w:val="36"/>
          <w:szCs w:val="36"/>
        </w:rPr>
      </w:pPr>
      <w:r>
        <w:rPr>
          <w:rFonts w:hint="eastAsia" w:eastAsia="黑体"/>
          <w:color w:val="auto"/>
          <w:sz w:val="36"/>
          <w:szCs w:val="36"/>
        </w:rPr>
        <w:t xml:space="preserve">第二部分     </w:t>
      </w:r>
      <w:r>
        <w:rPr>
          <w:rFonts w:hint="eastAsia" w:ascii="黑体" w:eastAsia="黑体"/>
          <w:color w:val="auto"/>
          <w:sz w:val="36"/>
          <w:szCs w:val="36"/>
        </w:rPr>
        <w:t>用户需求书</w:t>
      </w:r>
    </w:p>
    <w:p>
      <w:pPr>
        <w:spacing w:line="360" w:lineRule="auto"/>
        <w:ind w:left="1079" w:leftChars="514" w:firstLine="1260" w:firstLineChars="350"/>
        <w:rPr>
          <w:rFonts w:eastAsia="黑体"/>
          <w:color w:val="auto"/>
          <w:sz w:val="36"/>
          <w:szCs w:val="36"/>
        </w:rPr>
      </w:pPr>
      <w:r>
        <w:rPr>
          <w:rFonts w:hint="eastAsia" w:eastAsia="黑体"/>
          <w:color w:val="auto"/>
          <w:sz w:val="36"/>
          <w:szCs w:val="36"/>
        </w:rPr>
        <w:t>第三部分     投标须知</w:t>
      </w:r>
    </w:p>
    <w:p>
      <w:pPr>
        <w:spacing w:line="360" w:lineRule="auto"/>
        <w:ind w:left="1079" w:leftChars="514" w:firstLine="1260" w:firstLineChars="350"/>
        <w:rPr>
          <w:rFonts w:eastAsia="黑体"/>
          <w:color w:val="auto"/>
          <w:sz w:val="36"/>
          <w:szCs w:val="36"/>
        </w:rPr>
      </w:pPr>
      <w:r>
        <w:rPr>
          <w:rFonts w:hint="eastAsia" w:eastAsia="黑体"/>
          <w:color w:val="auto"/>
          <w:sz w:val="36"/>
          <w:szCs w:val="36"/>
        </w:rPr>
        <w:t xml:space="preserve">第四部分     </w:t>
      </w:r>
      <w:r>
        <w:rPr>
          <w:rFonts w:eastAsia="黑体"/>
          <w:color w:val="auto"/>
          <w:sz w:val="36"/>
          <w:szCs w:val="36"/>
        </w:rPr>
        <w:t>评标</w:t>
      </w:r>
      <w:r>
        <w:rPr>
          <w:rFonts w:hint="eastAsia" w:eastAsia="黑体"/>
          <w:color w:val="auto"/>
          <w:sz w:val="36"/>
          <w:szCs w:val="36"/>
        </w:rPr>
        <w:t>方</w:t>
      </w:r>
      <w:r>
        <w:rPr>
          <w:rFonts w:eastAsia="黑体"/>
          <w:color w:val="auto"/>
          <w:sz w:val="36"/>
          <w:szCs w:val="36"/>
        </w:rPr>
        <w:t>法</w:t>
      </w:r>
    </w:p>
    <w:p>
      <w:pPr>
        <w:spacing w:line="360" w:lineRule="auto"/>
        <w:ind w:left="1079" w:leftChars="514" w:firstLine="1260" w:firstLineChars="350"/>
        <w:rPr>
          <w:rFonts w:eastAsia="黑体"/>
          <w:color w:val="auto"/>
          <w:sz w:val="36"/>
          <w:szCs w:val="36"/>
        </w:rPr>
      </w:pPr>
      <w:r>
        <w:rPr>
          <w:rFonts w:hint="eastAsia" w:eastAsia="黑体"/>
          <w:color w:val="auto"/>
          <w:sz w:val="36"/>
          <w:szCs w:val="36"/>
        </w:rPr>
        <w:t>第五部分     合同书格式</w:t>
      </w:r>
    </w:p>
    <w:p>
      <w:pPr>
        <w:spacing w:line="360" w:lineRule="auto"/>
        <w:ind w:left="1079" w:leftChars="514" w:firstLine="1260" w:firstLineChars="350"/>
        <w:rPr>
          <w:rFonts w:eastAsia="黑体"/>
          <w:b/>
          <w:color w:val="auto"/>
          <w:sz w:val="44"/>
        </w:rPr>
        <w:sectPr>
          <w:pgSz w:w="11907" w:h="16840"/>
          <w:pgMar w:top="1418" w:right="1418" w:bottom="1361" w:left="1418" w:header="851" w:footer="851" w:gutter="0"/>
          <w:pgNumType w:start="1"/>
          <w:cols w:space="720" w:num="1"/>
          <w:titlePg/>
          <w:docGrid w:linePitch="312" w:charSpace="0"/>
        </w:sectPr>
      </w:pPr>
      <w:r>
        <w:rPr>
          <w:rFonts w:eastAsia="黑体"/>
          <w:color w:val="auto"/>
          <w:sz w:val="36"/>
          <w:szCs w:val="36"/>
        </w:rPr>
        <w:t xml:space="preserve">第六部分   </w:t>
      </w:r>
      <w:r>
        <w:rPr>
          <w:rFonts w:hint="eastAsia" w:eastAsia="黑体"/>
          <w:color w:val="auto"/>
          <w:sz w:val="36"/>
          <w:szCs w:val="36"/>
        </w:rPr>
        <w:t xml:space="preserve">  投标文件格式</w:t>
      </w: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r>
        <w:rPr>
          <w:rFonts w:hint="eastAsia" w:eastAsia="黑体"/>
          <w:b/>
          <w:color w:val="auto"/>
          <w:sz w:val="44"/>
        </w:rPr>
        <w:t>第一部分</w:t>
      </w:r>
    </w:p>
    <w:p>
      <w:pPr>
        <w:spacing w:line="480" w:lineRule="exact"/>
        <w:jc w:val="center"/>
        <w:rPr>
          <w:rFonts w:eastAsia="黑体"/>
          <w:b/>
          <w:color w:val="auto"/>
          <w:sz w:val="44"/>
        </w:rPr>
      </w:pPr>
    </w:p>
    <w:p>
      <w:pPr>
        <w:spacing w:line="480" w:lineRule="exact"/>
        <w:jc w:val="center"/>
        <w:rPr>
          <w:rFonts w:eastAsia="黑体"/>
          <w:b/>
          <w:color w:val="auto"/>
          <w:sz w:val="44"/>
        </w:rPr>
      </w:pPr>
      <w:r>
        <w:rPr>
          <w:rFonts w:hint="eastAsia" w:eastAsia="黑体"/>
          <w:b/>
          <w:color w:val="auto"/>
          <w:sz w:val="44"/>
        </w:rPr>
        <w:t>投 标 邀 请 函</w:t>
      </w:r>
    </w:p>
    <w:p>
      <w:pPr>
        <w:spacing w:line="480" w:lineRule="exact"/>
        <w:jc w:val="center"/>
        <w:rPr>
          <w:b/>
          <w:color w:val="auto"/>
          <w:sz w:val="24"/>
        </w:rPr>
      </w:pPr>
    </w:p>
    <w:p>
      <w:pPr>
        <w:spacing w:line="480" w:lineRule="exact"/>
        <w:jc w:val="center"/>
        <w:rPr>
          <w:b/>
          <w:color w:val="auto"/>
          <w:sz w:val="24"/>
        </w:rPr>
      </w:pPr>
    </w:p>
    <w:p>
      <w:pPr>
        <w:spacing w:line="480" w:lineRule="exact"/>
        <w:jc w:val="center"/>
        <w:rPr>
          <w:b/>
          <w:color w:val="auto"/>
          <w:sz w:val="24"/>
        </w:rPr>
      </w:pPr>
    </w:p>
    <w:p>
      <w:pPr>
        <w:spacing w:line="480" w:lineRule="exact"/>
        <w:jc w:val="center"/>
        <w:rPr>
          <w:color w:val="auto"/>
          <w:sz w:val="24"/>
        </w:rPr>
      </w:pPr>
      <w:r>
        <w:rPr>
          <w:color w:val="auto"/>
          <w:sz w:val="24"/>
        </w:rPr>
        <w:br w:type="page"/>
      </w:r>
    </w:p>
    <w:p>
      <w:pPr>
        <w:spacing w:line="480" w:lineRule="exact"/>
        <w:jc w:val="center"/>
        <w:rPr>
          <w:b/>
          <w:color w:val="auto"/>
          <w:kern w:val="28"/>
          <w:sz w:val="36"/>
          <w:szCs w:val="36"/>
        </w:rPr>
      </w:pPr>
      <w:r>
        <w:rPr>
          <w:rFonts w:hint="eastAsia"/>
          <w:b/>
          <w:color w:val="auto"/>
          <w:kern w:val="28"/>
          <w:sz w:val="36"/>
          <w:szCs w:val="36"/>
        </w:rPr>
        <w:t>投</w:t>
      </w:r>
      <w:r>
        <w:rPr>
          <w:b/>
          <w:color w:val="auto"/>
          <w:kern w:val="28"/>
          <w:sz w:val="36"/>
          <w:szCs w:val="36"/>
        </w:rPr>
        <w:t xml:space="preserve"> </w:t>
      </w:r>
      <w:r>
        <w:rPr>
          <w:rFonts w:hint="eastAsia"/>
          <w:b/>
          <w:color w:val="auto"/>
          <w:kern w:val="28"/>
          <w:sz w:val="36"/>
          <w:szCs w:val="36"/>
        </w:rPr>
        <w:t>标</w:t>
      </w:r>
      <w:r>
        <w:rPr>
          <w:b/>
          <w:color w:val="auto"/>
          <w:kern w:val="28"/>
          <w:sz w:val="36"/>
          <w:szCs w:val="36"/>
        </w:rPr>
        <w:t xml:space="preserve"> </w:t>
      </w:r>
      <w:r>
        <w:rPr>
          <w:rFonts w:hint="eastAsia"/>
          <w:b/>
          <w:color w:val="auto"/>
          <w:kern w:val="28"/>
          <w:sz w:val="36"/>
          <w:szCs w:val="36"/>
        </w:rPr>
        <w:t>邀 请 函</w:t>
      </w:r>
    </w:p>
    <w:p>
      <w:pPr>
        <w:rPr>
          <w:b/>
          <w:color w:val="auto"/>
          <w:kern w:val="28"/>
          <w:sz w:val="32"/>
        </w:rPr>
      </w:pPr>
    </w:p>
    <w:p>
      <w:pPr>
        <w:spacing w:line="360" w:lineRule="auto"/>
        <w:ind w:firstLine="420" w:firstLineChars="200"/>
        <w:rPr>
          <w:rFonts w:hAnsi="宋体"/>
          <w:color w:val="auto"/>
          <w:kern w:val="28"/>
        </w:rPr>
      </w:pPr>
      <w:r>
        <w:rPr>
          <w:rFonts w:hint="eastAsia" w:hAnsi="宋体"/>
          <w:color w:val="auto"/>
          <w:kern w:val="28"/>
          <w:lang w:eastAsia="zh-CN"/>
        </w:rPr>
        <w:t>广东华联建设投资管理股份有限公司中山分公司</w:t>
      </w:r>
      <w:r>
        <w:rPr>
          <w:rFonts w:hint="eastAsia" w:hAnsi="宋体"/>
          <w:color w:val="auto"/>
          <w:kern w:val="28"/>
        </w:rPr>
        <w:t>受</w:t>
      </w:r>
      <w:r>
        <w:rPr>
          <w:rFonts w:hint="eastAsia" w:ascii="宋体" w:hAnsi="宋体" w:cs="宋体"/>
          <w:color w:val="auto"/>
          <w:kern w:val="28"/>
        </w:rPr>
        <w:t>中华人民共和国中山海关</w:t>
      </w:r>
      <w:r>
        <w:rPr>
          <w:rFonts w:hint="eastAsia" w:hAnsi="宋体"/>
          <w:color w:val="auto"/>
          <w:kern w:val="28"/>
        </w:rPr>
        <w:t>（以下简称“采购人”）的委托，对</w:t>
      </w:r>
      <w:r>
        <w:rPr>
          <w:rFonts w:hint="eastAsia" w:hAnsi="宋体"/>
          <w:color w:val="auto"/>
          <w:kern w:val="28"/>
          <w:lang w:eastAsia="zh-CN"/>
        </w:rPr>
        <w:t>中山海关公务车辆2018-2020年定点加油采购项目</w:t>
      </w:r>
      <w:r>
        <w:rPr>
          <w:rFonts w:hint="eastAsia" w:hAnsi="宋体"/>
          <w:color w:val="auto"/>
          <w:kern w:val="28"/>
        </w:rPr>
        <w:t>进行公开招标采购，欢迎符合资格条件的服务商投标。本项目公示期为</w:t>
      </w:r>
      <w:r>
        <w:rPr>
          <w:rFonts w:hint="eastAsia" w:hAnsi="宋体"/>
          <w:color w:val="FF0000"/>
          <w:kern w:val="28"/>
        </w:rPr>
        <w:t>201</w:t>
      </w:r>
      <w:r>
        <w:rPr>
          <w:rFonts w:hint="eastAsia" w:hAnsi="宋体"/>
          <w:color w:val="FF0000"/>
          <w:kern w:val="28"/>
          <w:lang w:val="en-US" w:eastAsia="zh-CN"/>
        </w:rPr>
        <w:t>8</w:t>
      </w:r>
      <w:r>
        <w:rPr>
          <w:rFonts w:hint="eastAsia" w:hAnsi="宋体"/>
          <w:color w:val="FF0000"/>
          <w:kern w:val="28"/>
        </w:rPr>
        <w:t>年</w:t>
      </w:r>
      <w:r>
        <w:rPr>
          <w:rFonts w:hint="eastAsia" w:hAnsi="宋体"/>
          <w:color w:val="FF0000"/>
          <w:kern w:val="28"/>
          <w:lang w:val="en-US" w:eastAsia="zh-CN"/>
        </w:rPr>
        <w:t>6</w:t>
      </w:r>
      <w:r>
        <w:rPr>
          <w:rFonts w:hint="eastAsia" w:hAnsi="宋体"/>
          <w:color w:val="FF0000"/>
          <w:kern w:val="28"/>
        </w:rPr>
        <w:t>月</w:t>
      </w:r>
      <w:r>
        <w:rPr>
          <w:rFonts w:hint="eastAsia" w:hAnsi="宋体"/>
          <w:color w:val="FF0000"/>
          <w:kern w:val="28"/>
          <w:lang w:val="en-US" w:eastAsia="zh-CN"/>
        </w:rPr>
        <w:t>13</w:t>
      </w:r>
      <w:r>
        <w:rPr>
          <w:rFonts w:hint="eastAsia" w:hAnsi="宋体"/>
          <w:color w:val="FF0000"/>
          <w:kern w:val="28"/>
        </w:rPr>
        <w:t>日起至201</w:t>
      </w:r>
      <w:r>
        <w:rPr>
          <w:rFonts w:hint="eastAsia" w:hAnsi="宋体"/>
          <w:color w:val="FF0000"/>
          <w:kern w:val="28"/>
          <w:lang w:val="en-US" w:eastAsia="zh-CN"/>
        </w:rPr>
        <w:t>8</w:t>
      </w:r>
      <w:r>
        <w:rPr>
          <w:rFonts w:hint="eastAsia" w:hAnsi="宋体"/>
          <w:color w:val="FF0000"/>
          <w:kern w:val="28"/>
        </w:rPr>
        <w:t>年</w:t>
      </w:r>
      <w:r>
        <w:rPr>
          <w:rFonts w:hint="eastAsia" w:hAnsi="宋体"/>
          <w:color w:val="FF0000"/>
          <w:kern w:val="28"/>
          <w:lang w:val="en-US" w:eastAsia="zh-CN"/>
        </w:rPr>
        <w:t>6</w:t>
      </w:r>
      <w:r>
        <w:rPr>
          <w:rFonts w:hint="eastAsia" w:hAnsi="宋体"/>
          <w:color w:val="FF0000"/>
          <w:kern w:val="28"/>
        </w:rPr>
        <w:t>月</w:t>
      </w:r>
      <w:r>
        <w:rPr>
          <w:rFonts w:hint="eastAsia" w:hAnsi="宋体"/>
          <w:color w:val="FF0000"/>
          <w:kern w:val="28"/>
          <w:lang w:val="en-US" w:eastAsia="zh-CN"/>
        </w:rPr>
        <w:t>19</w:t>
      </w:r>
      <w:r>
        <w:rPr>
          <w:rFonts w:hint="eastAsia" w:hAnsi="宋体"/>
          <w:color w:val="FF0000"/>
          <w:kern w:val="28"/>
        </w:rPr>
        <w:t>日止</w:t>
      </w:r>
      <w:r>
        <w:rPr>
          <w:rFonts w:hint="eastAsia" w:hAnsi="宋体"/>
          <w:color w:val="auto"/>
          <w:kern w:val="28"/>
        </w:rPr>
        <w:t>，公示期为5个工作日，供应商认为招标文件的内容损害其权益的，可以在公示期间以书面形式（加盖单位公章，电话咨询或传真或电邮形式无效）向采购人或者政府采购代理机构提出质疑。</w:t>
      </w:r>
    </w:p>
    <w:p>
      <w:pPr>
        <w:spacing w:line="360" w:lineRule="auto"/>
        <w:ind w:firstLine="424" w:firstLineChars="202"/>
        <w:rPr>
          <w:rFonts w:hAnsi="宋体"/>
          <w:color w:val="auto"/>
          <w:kern w:val="28"/>
        </w:rPr>
      </w:pPr>
      <w:r>
        <w:rPr>
          <w:rFonts w:hint="eastAsia" w:hAnsi="宋体"/>
          <w:color w:val="auto"/>
          <w:kern w:val="28"/>
        </w:rPr>
        <w:t>一、采购项目编号：</w:t>
      </w:r>
      <w:r>
        <w:rPr>
          <w:rFonts w:hint="eastAsia" w:hAnsi="宋体"/>
          <w:color w:val="auto"/>
          <w:kern w:val="28"/>
          <w:lang w:eastAsia="zh-CN"/>
        </w:rPr>
        <w:t>GDHLCG-20180525</w:t>
      </w:r>
    </w:p>
    <w:p>
      <w:pPr>
        <w:spacing w:line="360" w:lineRule="auto"/>
        <w:ind w:firstLine="424" w:firstLineChars="202"/>
        <w:rPr>
          <w:rFonts w:hint="eastAsia" w:hAnsi="宋体" w:eastAsia="宋体"/>
          <w:color w:val="auto"/>
          <w:kern w:val="28"/>
          <w:lang w:eastAsia="zh-CN"/>
        </w:rPr>
      </w:pPr>
      <w:r>
        <w:rPr>
          <w:rFonts w:hint="eastAsia" w:hAnsi="宋体"/>
          <w:color w:val="auto"/>
          <w:kern w:val="28"/>
        </w:rPr>
        <w:t>二、采购项目名称：</w:t>
      </w:r>
      <w:r>
        <w:rPr>
          <w:rFonts w:hint="eastAsia" w:hAnsi="宋体"/>
          <w:color w:val="auto"/>
          <w:kern w:val="28"/>
          <w:lang w:eastAsia="zh-CN"/>
        </w:rPr>
        <w:t>中山海关公务车辆2018-2020年定点加油采购项目</w:t>
      </w:r>
    </w:p>
    <w:p>
      <w:pPr>
        <w:numPr>
          <w:ilvl w:val="0"/>
          <w:numId w:val="0"/>
        </w:numPr>
        <w:tabs>
          <w:tab w:val="left" w:pos="540"/>
        </w:tabs>
        <w:spacing w:line="360" w:lineRule="auto"/>
        <w:ind w:left="0" w:leftChars="0" w:firstLine="420" w:firstLineChars="200"/>
        <w:rPr>
          <w:rFonts w:hint="eastAsia" w:ascii="宋体" w:hAnsi="宋体" w:cs="宋体"/>
          <w:color w:val="0000FF"/>
          <w:szCs w:val="21"/>
        </w:rPr>
      </w:pPr>
      <w:r>
        <w:rPr>
          <w:rFonts w:hint="eastAsia" w:hAnsi="宋体"/>
          <w:color w:val="auto"/>
          <w:kern w:val="28"/>
        </w:rPr>
        <w:t>三、采购资金来源及预算金额：</w:t>
      </w:r>
      <w:r>
        <w:rPr>
          <w:rFonts w:hint="eastAsia" w:hAnsi="宋体"/>
          <w:color w:val="0000FF"/>
          <w:kern w:val="28"/>
          <w:lang w:eastAsia="zh-CN"/>
        </w:rPr>
        <w:t>自筹</w:t>
      </w:r>
      <w:r>
        <w:rPr>
          <w:rFonts w:hint="eastAsia" w:hAnsi="宋体"/>
          <w:color w:val="0000FF"/>
          <w:kern w:val="28"/>
        </w:rPr>
        <w:t>资金；预算金额：55万元</w:t>
      </w:r>
      <w:r>
        <w:rPr>
          <w:rFonts w:hint="eastAsia" w:hAnsi="宋体"/>
          <w:color w:val="0000FF"/>
          <w:kern w:val="28"/>
          <w:lang w:val="en-US" w:eastAsia="zh-CN"/>
        </w:rPr>
        <w:t>/年</w:t>
      </w:r>
      <w:r>
        <w:rPr>
          <w:rFonts w:hint="eastAsia" w:hAnsi="宋体"/>
          <w:color w:val="0000FF"/>
          <w:kern w:val="28"/>
        </w:rPr>
        <w:t>，东区加油站约13.2万元</w:t>
      </w:r>
      <w:r>
        <w:rPr>
          <w:rFonts w:hint="eastAsia" w:hAnsi="宋体"/>
          <w:color w:val="0000FF"/>
          <w:kern w:val="28"/>
          <w:lang w:val="en-US" w:eastAsia="zh-CN"/>
        </w:rPr>
        <w:t>/年</w:t>
      </w:r>
      <w:r>
        <w:rPr>
          <w:rFonts w:hint="eastAsia" w:hAnsi="宋体"/>
          <w:color w:val="0000FF"/>
          <w:kern w:val="28"/>
        </w:rPr>
        <w:t>、中山港加油站约11万元</w:t>
      </w:r>
      <w:r>
        <w:rPr>
          <w:rFonts w:hint="eastAsia" w:hAnsi="宋体"/>
          <w:color w:val="0000FF"/>
          <w:kern w:val="28"/>
          <w:lang w:val="en-US" w:eastAsia="zh-CN"/>
        </w:rPr>
        <w:t>/年</w:t>
      </w:r>
      <w:r>
        <w:rPr>
          <w:rFonts w:hint="eastAsia" w:hAnsi="宋体"/>
          <w:color w:val="0000FF"/>
          <w:kern w:val="28"/>
        </w:rPr>
        <w:t>、民众加油站约12.1万元</w:t>
      </w:r>
      <w:r>
        <w:rPr>
          <w:rFonts w:hint="eastAsia" w:hAnsi="宋体"/>
          <w:color w:val="0000FF"/>
          <w:kern w:val="28"/>
          <w:lang w:val="en-US" w:eastAsia="zh-CN"/>
        </w:rPr>
        <w:t>/年</w:t>
      </w:r>
      <w:r>
        <w:rPr>
          <w:rFonts w:hint="eastAsia" w:hAnsi="宋体"/>
          <w:color w:val="0000FF"/>
          <w:kern w:val="28"/>
        </w:rPr>
        <w:t>、小榄加油站约11.6万元</w:t>
      </w:r>
      <w:r>
        <w:rPr>
          <w:rFonts w:hint="eastAsia" w:hAnsi="宋体"/>
          <w:color w:val="0000FF"/>
          <w:kern w:val="28"/>
          <w:lang w:val="en-US" w:eastAsia="zh-CN"/>
        </w:rPr>
        <w:t>/年</w:t>
      </w:r>
      <w:r>
        <w:rPr>
          <w:rFonts w:hint="eastAsia" w:hAnsi="宋体"/>
          <w:color w:val="0000FF"/>
          <w:kern w:val="28"/>
        </w:rPr>
        <w:t>、神湾加油站约7.1万元</w:t>
      </w:r>
      <w:r>
        <w:rPr>
          <w:rFonts w:hint="eastAsia" w:hAnsi="宋体"/>
          <w:color w:val="0000FF"/>
          <w:kern w:val="28"/>
          <w:lang w:val="en-US" w:eastAsia="zh-CN"/>
        </w:rPr>
        <w:t>/年</w:t>
      </w:r>
      <w:r>
        <w:rPr>
          <w:rFonts w:hint="eastAsia" w:hAnsi="宋体"/>
          <w:color w:val="0000FF"/>
          <w:kern w:val="28"/>
        </w:rPr>
        <w:t>，合计约55万元</w:t>
      </w:r>
      <w:r>
        <w:rPr>
          <w:rFonts w:hint="eastAsia" w:hAnsi="宋体"/>
          <w:color w:val="0000FF"/>
          <w:kern w:val="28"/>
          <w:lang w:val="en-US" w:eastAsia="zh-CN"/>
        </w:rPr>
        <w:t>/年</w:t>
      </w:r>
      <w:r>
        <w:rPr>
          <w:rFonts w:hint="eastAsia" w:hAnsi="宋体"/>
          <w:color w:val="0000FF"/>
          <w:kern w:val="28"/>
        </w:rPr>
        <w:t>，合同期内以采购人实际用油情况为准</w:t>
      </w:r>
      <w:r>
        <w:rPr>
          <w:rFonts w:hint="eastAsia" w:ascii="宋体" w:hAnsi="宋体" w:cs="宋体"/>
          <w:color w:val="0000FF"/>
          <w:szCs w:val="21"/>
        </w:rPr>
        <w:t>。（投标报价不得超过上限价，否则为无效标。）</w:t>
      </w:r>
    </w:p>
    <w:p>
      <w:pPr>
        <w:spacing w:line="360" w:lineRule="auto"/>
        <w:ind w:firstLine="424" w:firstLineChars="202"/>
        <w:rPr>
          <w:color w:val="auto"/>
          <w:kern w:val="28"/>
        </w:rPr>
      </w:pPr>
      <w:r>
        <w:rPr>
          <w:rFonts w:hint="eastAsia" w:hAnsi="宋体"/>
          <w:color w:val="auto"/>
          <w:kern w:val="28"/>
        </w:rPr>
        <w:t>四、项目内容及需求：</w:t>
      </w:r>
      <w:r>
        <w:rPr>
          <w:rFonts w:hint="eastAsia"/>
          <w:color w:val="auto"/>
          <w:kern w:val="28"/>
        </w:rPr>
        <w:t>(</w:t>
      </w:r>
      <w:r>
        <w:rPr>
          <w:rFonts w:hint="eastAsia" w:hAnsi="宋体"/>
          <w:color w:val="auto"/>
          <w:kern w:val="28"/>
        </w:rPr>
        <w:t>采购服务的名称、服务范围及主要内容及要求</w:t>
      </w:r>
      <w:r>
        <w:rPr>
          <w:rFonts w:hint="eastAsia"/>
          <w:color w:val="auto"/>
          <w:kern w:val="28"/>
        </w:rPr>
        <w:t>)</w:t>
      </w:r>
    </w:p>
    <w:p>
      <w:pPr>
        <w:spacing w:line="360" w:lineRule="auto"/>
        <w:ind w:firstLine="424" w:firstLineChars="202"/>
        <w:rPr>
          <w:rFonts w:ascii="宋体" w:hAnsi="宋体"/>
          <w:color w:val="auto"/>
          <w:szCs w:val="21"/>
        </w:rPr>
      </w:pPr>
      <w:r>
        <w:rPr>
          <w:rFonts w:ascii="宋体" w:hAnsi="宋体"/>
          <w:color w:val="auto"/>
          <w:szCs w:val="21"/>
        </w:rPr>
        <w:t>1.</w:t>
      </w:r>
      <w:r>
        <w:rPr>
          <w:rFonts w:hint="eastAsia" w:ascii="宋体" w:hAnsi="宋体"/>
          <w:color w:val="auto"/>
          <w:szCs w:val="21"/>
        </w:rPr>
        <w:t xml:space="preserve"> </w:t>
      </w:r>
      <w:r>
        <w:rPr>
          <w:rFonts w:hint="eastAsia" w:ascii="宋体" w:hAnsi="宋体"/>
          <w:color w:val="0000FF"/>
          <w:szCs w:val="21"/>
        </w:rPr>
        <w:t>201</w:t>
      </w:r>
      <w:r>
        <w:rPr>
          <w:rFonts w:hint="eastAsia" w:ascii="宋体" w:hAnsi="宋体"/>
          <w:color w:val="0000FF"/>
          <w:szCs w:val="21"/>
          <w:lang w:val="en-US" w:eastAsia="zh-CN"/>
        </w:rPr>
        <w:t>8</w:t>
      </w:r>
      <w:r>
        <w:rPr>
          <w:rFonts w:hint="eastAsia" w:ascii="宋体" w:hAnsi="宋体"/>
          <w:color w:val="0000FF"/>
          <w:szCs w:val="21"/>
        </w:rPr>
        <w:t>年11月1日至20</w:t>
      </w:r>
      <w:r>
        <w:rPr>
          <w:rFonts w:hint="eastAsia" w:ascii="宋体" w:hAnsi="宋体"/>
          <w:color w:val="0000FF"/>
          <w:szCs w:val="21"/>
          <w:lang w:val="en-US" w:eastAsia="zh-CN"/>
        </w:rPr>
        <w:t>20</w:t>
      </w:r>
      <w:r>
        <w:rPr>
          <w:rFonts w:hint="eastAsia" w:ascii="宋体" w:hAnsi="宋体"/>
          <w:color w:val="0000FF"/>
          <w:szCs w:val="21"/>
        </w:rPr>
        <w:t>年10月31日中山海关约40台（注：合同期</w:t>
      </w:r>
      <w:r>
        <w:rPr>
          <w:rFonts w:hint="eastAsia" w:ascii="宋体" w:hAnsi="宋体"/>
          <w:color w:val="0000FF"/>
          <w:szCs w:val="21"/>
          <w:lang w:eastAsia="zh-CN"/>
        </w:rPr>
        <w:t>二</w:t>
      </w:r>
      <w:r>
        <w:rPr>
          <w:rFonts w:hint="eastAsia" w:ascii="宋体" w:hAnsi="宋体"/>
          <w:color w:val="0000FF"/>
          <w:szCs w:val="21"/>
        </w:rPr>
        <w:t>年；具体日期以中标后甲乙双方签订合同为准）公务车辆的定点加油服务</w:t>
      </w:r>
      <w:r>
        <w:rPr>
          <w:rFonts w:hint="eastAsia" w:ascii="宋体" w:hAnsi="宋体" w:cs="宋体"/>
          <w:color w:val="0000FF"/>
          <w:szCs w:val="21"/>
        </w:rPr>
        <w:t>；</w:t>
      </w:r>
    </w:p>
    <w:p>
      <w:pPr>
        <w:spacing w:line="360" w:lineRule="auto"/>
        <w:ind w:firstLine="424" w:firstLineChars="202"/>
        <w:rPr>
          <w:rFonts w:hint="eastAsia" w:ascii="宋体" w:hAnsi="宋体"/>
          <w:color w:val="0000FF"/>
          <w:szCs w:val="21"/>
        </w:rPr>
      </w:pPr>
      <w:r>
        <w:rPr>
          <w:rFonts w:hint="eastAsia" w:ascii="宋体" w:hAnsi="宋体"/>
          <w:color w:val="auto"/>
          <w:szCs w:val="21"/>
        </w:rPr>
        <w:t xml:space="preserve">2. </w:t>
      </w:r>
      <w:r>
        <w:rPr>
          <w:rFonts w:hint="eastAsia" w:ascii="宋体" w:hAnsi="宋体"/>
          <w:color w:val="0000FF"/>
          <w:szCs w:val="21"/>
        </w:rPr>
        <w:t>内容：拟采用综合评分方式，评选出01包：东区定点加油站、02包：中山港定点加油站、03包：民众定点加油站、04包：小榄定点加油站、05包：神湾定点加油站（详细内容请参阅采购文件中的相关内容；投标人可选择一个或多个标包进行投标，必须对所投的标包要求的全部内容进行投标）</w:t>
      </w:r>
    </w:p>
    <w:p>
      <w:pPr>
        <w:spacing w:line="360" w:lineRule="auto"/>
        <w:ind w:firstLine="424" w:firstLineChars="202"/>
        <w:rPr>
          <w:rFonts w:hAnsi="宋体" w:cs="Tahoma"/>
          <w:color w:val="auto"/>
          <w:kern w:val="28"/>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 xml:space="preserve"> </w:t>
      </w:r>
      <w:r>
        <w:rPr>
          <w:rFonts w:hint="eastAsia" w:hAnsi="宋体" w:cs="Tahoma"/>
          <w:color w:val="auto"/>
          <w:kern w:val="28"/>
          <w:szCs w:val="21"/>
        </w:rPr>
        <w:t>简要技术要求或招标项目的性质：详见招标文件</w:t>
      </w:r>
      <w:r>
        <w:rPr>
          <w:rFonts w:hint="eastAsia" w:hAnsi="宋体"/>
          <w:color w:val="auto"/>
        </w:rPr>
        <w:t>第二部分</w:t>
      </w:r>
      <w:r>
        <w:rPr>
          <w:rFonts w:hint="eastAsia" w:hAnsi="宋体"/>
          <w:color w:val="auto"/>
          <w:szCs w:val="24"/>
        </w:rPr>
        <w:t>“用户需求书”的</w:t>
      </w:r>
      <w:r>
        <w:rPr>
          <w:rFonts w:hint="eastAsia" w:hAnsi="宋体" w:cs="Tahoma"/>
          <w:color w:val="auto"/>
          <w:kern w:val="28"/>
          <w:szCs w:val="21"/>
        </w:rPr>
        <w:t>采购项目内容；</w:t>
      </w:r>
    </w:p>
    <w:p>
      <w:pPr>
        <w:spacing w:line="360" w:lineRule="auto"/>
        <w:ind w:firstLine="424" w:firstLineChars="202"/>
        <w:rPr>
          <w:rFonts w:ascii="宋体" w:hAnsi="宋体"/>
          <w:color w:val="auto"/>
          <w:szCs w:val="21"/>
          <w:lang w:val="zh-CN"/>
        </w:rPr>
      </w:pPr>
      <w:r>
        <w:rPr>
          <w:rFonts w:hint="eastAsia" w:ascii="宋体" w:hAnsi="宋体"/>
          <w:color w:val="auto"/>
          <w:szCs w:val="21"/>
        </w:rPr>
        <w:t>4</w:t>
      </w:r>
      <w:r>
        <w:rPr>
          <w:rFonts w:ascii="宋体" w:hAnsi="宋体"/>
          <w:color w:val="auto"/>
          <w:szCs w:val="21"/>
        </w:rPr>
        <w:t>.</w:t>
      </w:r>
      <w:r>
        <w:rPr>
          <w:rFonts w:hint="eastAsia" w:ascii="宋体" w:hAnsi="宋体"/>
          <w:color w:val="auto"/>
          <w:szCs w:val="21"/>
        </w:rPr>
        <w:t xml:space="preserve"> </w:t>
      </w:r>
      <w:r>
        <w:rPr>
          <w:rFonts w:hint="eastAsia" w:cs="Tahoma"/>
          <w:color w:val="auto"/>
          <w:kern w:val="28"/>
          <w:szCs w:val="21"/>
        </w:rPr>
        <w:t>本次采购服务必须是在中华人民共和国境内的服务，合格的投标人应按要求进行报价</w:t>
      </w:r>
      <w:r>
        <w:rPr>
          <w:rFonts w:hint="eastAsia" w:ascii="宋体" w:hAnsi="宋体" w:cs="Tahoma"/>
          <w:color w:val="auto"/>
          <w:szCs w:val="21"/>
        </w:rPr>
        <w:t>；</w:t>
      </w:r>
    </w:p>
    <w:p>
      <w:pPr>
        <w:spacing w:line="360" w:lineRule="auto"/>
        <w:ind w:firstLine="424" w:firstLineChars="202"/>
        <w:rPr>
          <w:rFonts w:cs="Tahoma"/>
          <w:color w:val="auto"/>
          <w:kern w:val="28"/>
          <w:szCs w:val="21"/>
        </w:rPr>
      </w:pPr>
      <w:r>
        <w:rPr>
          <w:rFonts w:hint="eastAsia" w:ascii="宋体" w:hAnsi="宋体"/>
          <w:color w:val="auto"/>
          <w:szCs w:val="21"/>
          <w:lang w:val="zh-CN"/>
        </w:rPr>
        <w:t>5</w:t>
      </w:r>
      <w:r>
        <w:rPr>
          <w:rFonts w:ascii="宋体" w:hAnsi="宋体"/>
          <w:color w:val="auto"/>
          <w:szCs w:val="21"/>
          <w:lang w:val="zh-CN"/>
        </w:rPr>
        <w:t>.</w:t>
      </w:r>
      <w:r>
        <w:rPr>
          <w:rFonts w:hint="eastAsia" w:ascii="宋体" w:hAnsi="宋体"/>
          <w:color w:val="auto"/>
          <w:szCs w:val="21"/>
          <w:lang w:val="zh-CN"/>
        </w:rPr>
        <w:t xml:space="preserve"> 本项目不允许提交备选方案；</w:t>
      </w:r>
    </w:p>
    <w:p>
      <w:pPr>
        <w:spacing w:line="360" w:lineRule="auto"/>
        <w:ind w:firstLine="424" w:firstLineChars="202"/>
        <w:rPr>
          <w:rFonts w:hAnsi="宋体"/>
          <w:color w:val="auto"/>
          <w:kern w:val="28"/>
        </w:rPr>
      </w:pPr>
      <w:r>
        <w:rPr>
          <w:rFonts w:hint="eastAsia" w:hAnsi="宋体"/>
          <w:color w:val="auto"/>
          <w:kern w:val="28"/>
        </w:rPr>
        <w:t>五、</w:t>
      </w:r>
      <w:r>
        <w:rPr>
          <w:rFonts w:hint="eastAsia" w:hAnsi="宋体"/>
          <w:color w:val="auto"/>
          <w:szCs w:val="24"/>
        </w:rPr>
        <w:t>供应商资格</w:t>
      </w:r>
      <w:r>
        <w:rPr>
          <w:rFonts w:hint="eastAsia" w:ascii="宋体" w:hAnsi="宋体"/>
          <w:color w:val="auto"/>
        </w:rPr>
        <w:t>条件</w:t>
      </w:r>
      <w:r>
        <w:rPr>
          <w:rFonts w:hint="eastAsia" w:hAnsi="宋体"/>
          <w:color w:val="auto"/>
          <w:kern w:val="28"/>
        </w:rPr>
        <w:t>：</w:t>
      </w:r>
    </w:p>
    <w:p>
      <w:pPr>
        <w:spacing w:line="360" w:lineRule="auto"/>
        <w:ind w:firstLine="424" w:firstLineChars="202"/>
        <w:rPr>
          <w:rFonts w:hAnsi="宋体"/>
          <w:color w:val="auto"/>
          <w:kern w:val="28"/>
        </w:rPr>
      </w:pPr>
      <w:r>
        <w:rPr>
          <w:rFonts w:hint="eastAsia" w:hAnsi="宋体"/>
          <w:color w:val="auto"/>
          <w:kern w:val="28"/>
        </w:rPr>
        <w:t>1、投标人须具备《中华人民共和国政府采购法》第二十二条所规定的条件，提供下列材料：</w:t>
      </w:r>
    </w:p>
    <w:p>
      <w:pPr>
        <w:spacing w:line="360" w:lineRule="auto"/>
        <w:ind w:firstLine="424" w:firstLineChars="202"/>
        <w:rPr>
          <w:rFonts w:hAnsi="宋体"/>
          <w:color w:val="auto"/>
          <w:kern w:val="28"/>
        </w:rPr>
      </w:pPr>
      <w:r>
        <w:rPr>
          <w:rFonts w:hint="eastAsia" w:hAnsi="宋体"/>
          <w:color w:val="auto"/>
          <w:kern w:val="28"/>
        </w:rPr>
        <w:t>1）具有独立承担民事责任的能力（提供法人或者其他组织的营业执照等证明文件）；</w:t>
      </w:r>
    </w:p>
    <w:p>
      <w:pPr>
        <w:spacing w:line="360" w:lineRule="auto"/>
        <w:ind w:firstLine="424" w:firstLineChars="202"/>
        <w:rPr>
          <w:rFonts w:hAnsi="宋体"/>
          <w:color w:val="auto"/>
          <w:kern w:val="28"/>
        </w:rPr>
      </w:pPr>
      <w:r>
        <w:rPr>
          <w:rFonts w:hint="eastAsia" w:hAnsi="宋体"/>
          <w:color w:val="auto"/>
          <w:kern w:val="28"/>
        </w:rPr>
        <w:t>2）具有良好的商业信誉和健全的财务会计制度；</w:t>
      </w:r>
    </w:p>
    <w:p>
      <w:pPr>
        <w:spacing w:line="360" w:lineRule="auto"/>
        <w:ind w:firstLine="424" w:firstLineChars="202"/>
        <w:rPr>
          <w:rFonts w:hAnsi="宋体"/>
          <w:color w:val="auto"/>
          <w:kern w:val="28"/>
        </w:rPr>
      </w:pPr>
      <w:r>
        <w:rPr>
          <w:rFonts w:hint="eastAsia" w:hAnsi="宋体"/>
          <w:color w:val="auto"/>
          <w:kern w:val="28"/>
        </w:rPr>
        <w:t>3）具有履行合同所必需的设备和专业技术能力；</w:t>
      </w:r>
    </w:p>
    <w:p>
      <w:pPr>
        <w:spacing w:line="360" w:lineRule="auto"/>
        <w:ind w:firstLine="424" w:firstLineChars="202"/>
        <w:rPr>
          <w:rFonts w:hAnsi="宋体"/>
          <w:color w:val="auto"/>
          <w:kern w:val="28"/>
        </w:rPr>
      </w:pPr>
      <w:r>
        <w:rPr>
          <w:rFonts w:hint="eastAsia" w:hAnsi="宋体"/>
          <w:color w:val="auto"/>
          <w:kern w:val="28"/>
        </w:rPr>
        <w:t>4）有依法缴纳税收和社会保障资金的良好记录；</w:t>
      </w:r>
    </w:p>
    <w:p>
      <w:pPr>
        <w:spacing w:line="360" w:lineRule="auto"/>
        <w:ind w:firstLine="424" w:firstLineChars="202"/>
        <w:rPr>
          <w:rFonts w:hAnsi="宋体"/>
          <w:color w:val="auto"/>
          <w:kern w:val="28"/>
        </w:rPr>
      </w:pPr>
      <w:r>
        <w:rPr>
          <w:rFonts w:hint="eastAsia" w:hAnsi="宋体"/>
          <w:color w:val="auto"/>
          <w:kern w:val="28"/>
        </w:rPr>
        <w:t>5）参加政府采购活动前三年内，在经营活动中没有重大违法记录；</w:t>
      </w:r>
    </w:p>
    <w:p>
      <w:pPr>
        <w:spacing w:line="360" w:lineRule="auto"/>
        <w:ind w:firstLine="424" w:firstLineChars="202"/>
        <w:rPr>
          <w:rFonts w:hAnsi="宋体"/>
          <w:color w:val="auto"/>
          <w:kern w:val="28"/>
        </w:rPr>
      </w:pPr>
      <w:r>
        <w:rPr>
          <w:rFonts w:hint="eastAsia" w:hAnsi="宋体"/>
          <w:color w:val="auto"/>
          <w:kern w:val="28"/>
        </w:rPr>
        <w:t>6）法律、行政法规规定的其他条件。</w:t>
      </w:r>
    </w:p>
    <w:p>
      <w:pPr>
        <w:spacing w:line="360" w:lineRule="auto"/>
        <w:ind w:firstLine="424" w:firstLineChars="202"/>
        <w:rPr>
          <w:rFonts w:hAnsi="宋体"/>
          <w:color w:val="auto"/>
          <w:kern w:val="28"/>
        </w:rPr>
      </w:pPr>
      <w:r>
        <w:rPr>
          <w:rFonts w:hint="eastAsia" w:hAnsi="宋体"/>
          <w:color w:val="auto"/>
          <w:kern w:val="28"/>
        </w:rPr>
        <w:t>2、投标人须具有独立承担民事责任能力的在中华人民共和国境内注册的法人，并独立于采购人及采购代理机构；</w:t>
      </w:r>
    </w:p>
    <w:p>
      <w:pPr>
        <w:spacing w:line="360" w:lineRule="auto"/>
        <w:ind w:left="105" w:firstLine="424" w:firstLineChars="202"/>
        <w:rPr>
          <w:rFonts w:ascii="宋体" w:hAnsi="宋体"/>
          <w:color w:val="auto"/>
          <w:szCs w:val="21"/>
        </w:rPr>
      </w:pPr>
      <w:r>
        <w:rPr>
          <w:rFonts w:hint="eastAsia" w:ascii="宋体" w:hAnsi="宋体"/>
          <w:color w:val="auto"/>
          <w:szCs w:val="21"/>
        </w:rPr>
        <w:t>3、具备投标条件的企业法人或其它组织，具备合法经营权的石油公司或加油站；</w:t>
      </w:r>
    </w:p>
    <w:p>
      <w:pPr>
        <w:spacing w:line="360" w:lineRule="auto"/>
        <w:ind w:left="105" w:firstLine="462" w:firstLineChars="220"/>
        <w:rPr>
          <w:rFonts w:ascii="宋体" w:hAnsi="宋体"/>
          <w:color w:val="auto"/>
          <w:szCs w:val="21"/>
        </w:rPr>
      </w:pPr>
      <w:r>
        <w:rPr>
          <w:rFonts w:hint="eastAsia" w:ascii="宋体" w:hAnsi="宋体"/>
          <w:color w:val="auto"/>
          <w:szCs w:val="21"/>
        </w:rPr>
        <w:t>4、投标人所投标包所属加油站的位置须符合以下规定：①东区定点加油站，要求中山市城区范围内（包括：东区、西区、石岐区、南区）的加油站；②中山港定点加油站，要求距离中山港沿江东一路6号的中山海关驻中山港办事处大院直线距离10公里以内的加油站；③民众定点加油站，要求距离民众镇的中山保税物流中心大楼直线距离10公里以内的加油站；④小榄定点加油站，要求距离小榄港码头的直线距离10公里以内的加油站；⑤神湾定点加油站，要求距离神湾港码头的直线距离10公里以内的加油站；</w:t>
      </w:r>
    </w:p>
    <w:p>
      <w:pPr>
        <w:spacing w:line="360" w:lineRule="auto"/>
        <w:ind w:left="105" w:firstLine="462" w:firstLineChars="220"/>
        <w:rPr>
          <w:rFonts w:ascii="宋体" w:hAnsi="宋体"/>
          <w:color w:val="auto"/>
          <w:szCs w:val="21"/>
        </w:rPr>
      </w:pPr>
      <w:r>
        <w:rPr>
          <w:rFonts w:hint="eastAsia" w:ascii="宋体" w:hAnsi="宋体"/>
          <w:color w:val="auto"/>
          <w:szCs w:val="21"/>
        </w:rPr>
        <w:t>5、持有中山市经营油料供应许可证的同一法人的公司只能有一家投标人；</w:t>
      </w:r>
    </w:p>
    <w:p>
      <w:pPr>
        <w:spacing w:line="360" w:lineRule="auto"/>
        <w:ind w:left="105" w:firstLine="462" w:firstLineChars="220"/>
        <w:rPr>
          <w:rFonts w:ascii="宋体" w:hAnsi="宋体"/>
          <w:color w:val="auto"/>
          <w:szCs w:val="21"/>
        </w:rPr>
      </w:pPr>
      <w:r>
        <w:rPr>
          <w:rFonts w:hint="eastAsia" w:ascii="宋体" w:hAnsi="宋体"/>
          <w:color w:val="auto"/>
          <w:szCs w:val="21"/>
        </w:rPr>
        <w:t>6、本项目不接受联合体投标；</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 xml:space="preserve"> 7、投标人须提供近三年内（即从201</w:t>
      </w:r>
      <w:r>
        <w:rPr>
          <w:rFonts w:hint="eastAsia" w:ascii="宋体" w:hAnsi="宋体"/>
          <w:color w:val="auto"/>
          <w:szCs w:val="21"/>
          <w:lang w:val="en-US" w:eastAsia="zh-CN"/>
        </w:rPr>
        <w:t>5</w:t>
      </w:r>
      <w:r>
        <w:rPr>
          <w:rFonts w:hint="eastAsia"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至报名截止日前，投标人成立不足三年的可从成立之日起算）无行贿犯罪记录，由投标人营业执照住所地或业务发生地人民检察院出具《行贿犯罪档案查询告知函》的原件，原件装订在投标文件正本（复印件无效）；</w:t>
      </w:r>
    </w:p>
    <w:p>
      <w:pPr>
        <w:adjustRightInd w:val="0"/>
        <w:snapToGrid w:val="0"/>
        <w:spacing w:line="360" w:lineRule="auto"/>
        <w:rPr>
          <w:rFonts w:hint="eastAsia" w:ascii="宋体" w:hAnsi="宋体"/>
          <w:b/>
          <w:bCs/>
          <w:color w:val="auto"/>
          <w:szCs w:val="21"/>
        </w:rPr>
      </w:pPr>
      <w:r>
        <w:rPr>
          <w:rFonts w:hint="eastAsia" w:ascii="宋体" w:hAnsi="宋体" w:cs="宋体"/>
          <w:lang w:eastAsia="zh-CN"/>
        </w:rPr>
        <w:t>六、</w:t>
      </w:r>
      <w:r>
        <w:rPr>
          <w:rFonts w:hint="eastAsia" w:ascii="宋体" w:hAnsi="宋体" w:cs="宋体"/>
        </w:rPr>
        <w:t>获取招标文件时间、地点及招标文件售价：</w:t>
      </w:r>
    </w:p>
    <w:p>
      <w:pPr>
        <w:numPr>
          <w:ilvl w:val="0"/>
          <w:numId w:val="1"/>
        </w:numPr>
        <w:tabs>
          <w:tab w:val="left" w:pos="540"/>
          <w:tab w:val="clear" w:pos="420"/>
        </w:tabs>
        <w:spacing w:line="360" w:lineRule="auto"/>
        <w:ind w:left="540" w:hanging="540"/>
        <w:rPr>
          <w:rFonts w:hint="eastAsia" w:ascii="宋体" w:hAnsi="宋体" w:cs="宋体"/>
          <w:szCs w:val="21"/>
          <w:lang w:val="zh-CN"/>
        </w:rPr>
      </w:pPr>
      <w:r>
        <w:rPr>
          <w:rFonts w:hint="eastAsia" w:ascii="宋体" w:hAnsi="宋体" w:cs="宋体"/>
        </w:rPr>
        <w:t>符合资格的投标人应当在</w:t>
      </w:r>
      <w:r>
        <w:rPr>
          <w:rFonts w:hint="eastAsia" w:ascii="宋体" w:hAnsi="宋体" w:cs="宋体"/>
          <w:b/>
          <w:u w:val="single"/>
        </w:rPr>
        <w:t>2018年</w:t>
      </w:r>
      <w:r>
        <w:rPr>
          <w:rFonts w:hint="eastAsia" w:ascii="宋体" w:hAnsi="宋体" w:cs="宋体"/>
          <w:b/>
          <w:u w:val="single"/>
          <w:lang w:val="en-US" w:eastAsia="zh-CN"/>
        </w:rPr>
        <w:t>6</w:t>
      </w:r>
      <w:r>
        <w:rPr>
          <w:rFonts w:hint="eastAsia" w:ascii="宋体" w:hAnsi="宋体" w:cs="宋体"/>
          <w:b/>
          <w:u w:val="single"/>
        </w:rPr>
        <w:t>月</w:t>
      </w:r>
      <w:r>
        <w:rPr>
          <w:rFonts w:hint="eastAsia" w:ascii="宋体" w:hAnsi="宋体" w:cs="宋体"/>
          <w:b/>
          <w:u w:val="single"/>
          <w:lang w:val="en-US" w:eastAsia="zh-CN"/>
        </w:rPr>
        <w:t>12</w:t>
      </w:r>
      <w:r>
        <w:rPr>
          <w:rFonts w:hint="eastAsia" w:ascii="宋体" w:hAnsi="宋体" w:cs="宋体"/>
          <w:b/>
          <w:u w:val="single"/>
        </w:rPr>
        <w:t>日起至2018年</w:t>
      </w:r>
      <w:r>
        <w:rPr>
          <w:rFonts w:hint="eastAsia" w:ascii="宋体" w:hAnsi="宋体" w:cs="宋体"/>
          <w:b/>
          <w:u w:val="single"/>
          <w:lang w:val="en-US" w:eastAsia="zh-CN"/>
        </w:rPr>
        <w:t>6</w:t>
      </w:r>
      <w:r>
        <w:rPr>
          <w:rFonts w:hint="eastAsia" w:ascii="宋体" w:hAnsi="宋体" w:cs="宋体"/>
          <w:b/>
          <w:u w:val="single"/>
        </w:rPr>
        <w:t>月</w:t>
      </w:r>
      <w:r>
        <w:rPr>
          <w:rFonts w:hint="eastAsia" w:ascii="宋体" w:hAnsi="宋体" w:cs="宋体"/>
          <w:b/>
          <w:u w:val="single"/>
          <w:lang w:val="en-US" w:eastAsia="zh-CN"/>
        </w:rPr>
        <w:t>19</w:t>
      </w:r>
      <w:r>
        <w:rPr>
          <w:rFonts w:hint="eastAsia" w:ascii="宋体" w:hAnsi="宋体" w:cs="宋体"/>
          <w:b/>
          <w:u w:val="single"/>
        </w:rPr>
        <w:t>日止</w:t>
      </w:r>
      <w:r>
        <w:rPr>
          <w:rFonts w:hint="eastAsia" w:ascii="宋体" w:hAnsi="宋体" w:cs="宋体"/>
        </w:rPr>
        <w:t>（办公时间内，法定节假日除外）到采购代理机构（中山市五桂山岭东上筑花园商铺1卡2层广东华联建设投资管理股份有限公司中山分公司）获取招标文件。</w:t>
      </w:r>
    </w:p>
    <w:p>
      <w:pPr>
        <w:numPr>
          <w:ilvl w:val="0"/>
          <w:numId w:val="1"/>
        </w:numPr>
        <w:tabs>
          <w:tab w:val="left" w:pos="540"/>
          <w:tab w:val="clear" w:pos="420"/>
        </w:tabs>
        <w:spacing w:line="360" w:lineRule="auto"/>
        <w:ind w:left="540" w:hanging="540"/>
        <w:rPr>
          <w:rFonts w:hint="eastAsia" w:ascii="宋体" w:hAnsi="宋体" w:cs="宋体"/>
          <w:szCs w:val="21"/>
          <w:lang w:val="zh-CN"/>
        </w:rPr>
      </w:pPr>
      <w:r>
        <w:rPr>
          <w:rFonts w:hint="eastAsia" w:ascii="宋体" w:hAnsi="宋体" w:cs="宋体"/>
        </w:rPr>
        <w:t>招标文件售价：人民币</w:t>
      </w:r>
      <w:r>
        <w:rPr>
          <w:rFonts w:hint="eastAsia" w:ascii="宋体" w:hAnsi="宋体" w:cs="宋体"/>
          <w:lang w:val="en-US" w:eastAsia="zh-CN"/>
        </w:rPr>
        <w:t>3</w:t>
      </w:r>
      <w:r>
        <w:rPr>
          <w:rFonts w:hint="eastAsia" w:ascii="宋体" w:hAnsi="宋体" w:cs="宋体"/>
        </w:rPr>
        <w:t>00元/套（不接受邮寄报名），售后不退。</w:t>
      </w:r>
    </w:p>
    <w:p>
      <w:pPr>
        <w:numPr>
          <w:ilvl w:val="0"/>
          <w:numId w:val="1"/>
        </w:numPr>
        <w:tabs>
          <w:tab w:val="left" w:pos="540"/>
          <w:tab w:val="clear" w:pos="420"/>
        </w:tabs>
        <w:spacing w:line="360" w:lineRule="auto"/>
        <w:ind w:left="540" w:hanging="540"/>
        <w:rPr>
          <w:rFonts w:hint="eastAsia" w:ascii="宋体" w:hAnsi="宋体" w:cs="宋体"/>
          <w:szCs w:val="21"/>
          <w:lang w:val="zh-CN"/>
        </w:rPr>
      </w:pPr>
      <w:r>
        <w:rPr>
          <w:rFonts w:hint="eastAsia" w:ascii="宋体" w:hAnsi="宋体" w:cs="宋体"/>
        </w:rPr>
        <w:t>现场报名时向</w:t>
      </w:r>
      <w:r>
        <w:rPr>
          <w:rFonts w:hint="eastAsia" w:ascii="宋体" w:hAnsi="宋体" w:cs="宋体"/>
          <w:u w:val="single"/>
        </w:rPr>
        <w:t>招标代理机构</w:t>
      </w:r>
      <w:r>
        <w:rPr>
          <w:rFonts w:hint="eastAsia" w:ascii="宋体" w:hAnsi="宋体" w:cs="宋体"/>
        </w:rPr>
        <w:t>提供以下资料</w:t>
      </w:r>
      <w:r>
        <w:rPr>
          <w:rFonts w:hint="eastAsia" w:ascii="宋体" w:hAnsi="宋体" w:cs="宋体"/>
          <w:szCs w:val="21"/>
        </w:rPr>
        <w:t>复印件</w:t>
      </w:r>
      <w:r>
        <w:rPr>
          <w:rFonts w:hint="eastAsia" w:ascii="宋体" w:hAnsi="宋体" w:cs="宋体"/>
        </w:rPr>
        <w:t>：</w:t>
      </w:r>
      <w:r>
        <w:rPr>
          <w:rFonts w:hint="eastAsia" w:ascii="宋体" w:hAnsi="宋体"/>
          <w:color w:val="auto"/>
          <w:szCs w:val="21"/>
        </w:rPr>
        <w:t>1）有效营业执照副本；2）购买标书人的法人授权委托书及身份证复印件、3）中山市经营油料供应许可证复印件。（以上所提供资料均需加盖投标人单位公章）</w:t>
      </w:r>
      <w:r>
        <w:rPr>
          <w:rFonts w:hint="eastAsia" w:ascii="宋体" w:hAnsi="宋体"/>
          <w:color w:val="auto"/>
        </w:rPr>
        <w:t>（凡购买招标文件的单位，均被视为已充分理解本公告的有关要求，采购人及采购代理均无责任承担其是否符合合格投标人条件而引起的一切后果）</w:t>
      </w:r>
      <w:r>
        <w:rPr>
          <w:rFonts w:hint="eastAsia" w:ascii="宋体" w:hAnsi="宋体" w:cs="宋体"/>
        </w:rPr>
        <w:t>；</w:t>
      </w:r>
    </w:p>
    <w:p>
      <w:pPr>
        <w:numPr>
          <w:ilvl w:val="0"/>
          <w:numId w:val="0"/>
        </w:numPr>
        <w:tabs>
          <w:tab w:val="left" w:pos="540"/>
        </w:tabs>
        <w:spacing w:line="360" w:lineRule="auto"/>
        <w:ind w:leftChars="0"/>
        <w:rPr>
          <w:rFonts w:hint="eastAsia" w:ascii="宋体" w:hAnsi="宋体" w:cs="宋体"/>
        </w:rPr>
      </w:pPr>
      <w:r>
        <w:rPr>
          <w:rFonts w:hint="eastAsia" w:ascii="宋体" w:hAnsi="宋体" w:cs="宋体"/>
          <w:lang w:eastAsia="zh-CN"/>
        </w:rPr>
        <w:t>七、</w:t>
      </w:r>
      <w:r>
        <w:rPr>
          <w:rFonts w:hint="eastAsia" w:ascii="宋体" w:hAnsi="宋体" w:cs="宋体"/>
        </w:rPr>
        <w:t>本项目的投标保证金为￥</w:t>
      </w:r>
      <w:r>
        <w:rPr>
          <w:rFonts w:hint="eastAsia" w:ascii="宋体" w:hAnsi="宋体" w:cs="宋体"/>
          <w:lang w:val="en-US" w:eastAsia="zh-CN"/>
        </w:rPr>
        <w:t>5</w:t>
      </w:r>
      <w:r>
        <w:rPr>
          <w:rFonts w:hint="eastAsia" w:ascii="宋体" w:hAnsi="宋体" w:cs="宋体"/>
        </w:rPr>
        <w:t>,000.00元（大写：人民币</w:t>
      </w:r>
      <w:r>
        <w:rPr>
          <w:rFonts w:hint="eastAsia" w:ascii="宋体" w:hAnsi="宋体" w:cs="宋体"/>
          <w:lang w:eastAsia="zh-CN"/>
        </w:rPr>
        <w:t>伍仟</w:t>
      </w:r>
      <w:r>
        <w:rPr>
          <w:rFonts w:hint="eastAsia" w:ascii="宋体" w:hAnsi="宋体" w:cs="宋体"/>
        </w:rPr>
        <w:t>元整），保证金须在</w:t>
      </w:r>
      <w:r>
        <w:rPr>
          <w:rFonts w:hint="eastAsia" w:ascii="宋体" w:hAnsi="宋体" w:cs="宋体"/>
          <w:b/>
          <w:u w:val="single"/>
        </w:rPr>
        <w:t>2018年</w:t>
      </w:r>
      <w:r>
        <w:rPr>
          <w:rFonts w:hint="eastAsia" w:ascii="宋体" w:hAnsi="宋体" w:cs="宋体"/>
          <w:b/>
          <w:u w:val="single"/>
          <w:lang w:val="en-US" w:eastAsia="zh-CN"/>
        </w:rPr>
        <w:t>6</w:t>
      </w:r>
      <w:r>
        <w:rPr>
          <w:rFonts w:hint="eastAsia" w:ascii="宋体" w:hAnsi="宋体" w:cs="宋体"/>
          <w:b/>
          <w:u w:val="single"/>
        </w:rPr>
        <w:t>月</w:t>
      </w:r>
      <w:r>
        <w:rPr>
          <w:rFonts w:hint="eastAsia" w:ascii="宋体" w:hAnsi="宋体" w:cs="宋体"/>
          <w:b/>
          <w:u w:val="single"/>
          <w:lang w:val="en-US" w:eastAsia="zh-CN"/>
        </w:rPr>
        <w:t>27</w:t>
      </w:r>
      <w:r>
        <w:rPr>
          <w:rFonts w:hint="eastAsia" w:ascii="宋体" w:hAnsi="宋体" w:cs="宋体"/>
          <w:b/>
          <w:u w:val="single"/>
        </w:rPr>
        <w:t>日</w:t>
      </w:r>
      <w:r>
        <w:rPr>
          <w:rFonts w:hint="eastAsia" w:ascii="宋体" w:hAnsi="宋体" w:cs="宋体"/>
        </w:rPr>
        <w:t>下午5:30前到达以下账号（保证金接收帐号：中国农业银行股份有限公司中山城区支行，4431 0601 0400 0771 8，广东华联建设投资管理股份有限公司中山分公司）</w:t>
      </w:r>
    </w:p>
    <w:p>
      <w:pPr>
        <w:numPr>
          <w:ilvl w:val="0"/>
          <w:numId w:val="0"/>
        </w:numPr>
        <w:tabs>
          <w:tab w:val="left" w:pos="540"/>
        </w:tabs>
        <w:spacing w:line="360" w:lineRule="auto"/>
        <w:ind w:leftChars="0"/>
        <w:rPr>
          <w:rFonts w:hint="eastAsia" w:ascii="宋体" w:hAnsi="宋体" w:cs="宋体"/>
        </w:rPr>
      </w:pPr>
      <w:r>
        <w:rPr>
          <w:rFonts w:hint="eastAsia" w:ascii="宋体" w:hAnsi="宋体" w:cs="宋体"/>
          <w:lang w:eastAsia="zh-CN"/>
        </w:rPr>
        <w:t>八、</w:t>
      </w:r>
      <w:r>
        <w:rPr>
          <w:rFonts w:hint="eastAsia" w:ascii="宋体" w:hAnsi="宋体" w:cs="宋体"/>
        </w:rPr>
        <w:t>投标截止时间、开标时间及地点：</w:t>
      </w:r>
    </w:p>
    <w:p>
      <w:pPr>
        <w:numPr>
          <w:ilvl w:val="0"/>
          <w:numId w:val="2"/>
        </w:numPr>
        <w:tabs>
          <w:tab w:val="left" w:pos="540"/>
          <w:tab w:val="clear" w:pos="420"/>
        </w:tabs>
        <w:spacing w:line="360" w:lineRule="auto"/>
        <w:ind w:left="540" w:hanging="540"/>
        <w:rPr>
          <w:rFonts w:hint="eastAsia" w:ascii="宋体" w:hAnsi="宋体" w:cs="宋体"/>
        </w:rPr>
      </w:pPr>
      <w:r>
        <w:rPr>
          <w:rFonts w:hint="eastAsia" w:ascii="宋体" w:hAnsi="宋体" w:cs="宋体"/>
        </w:rPr>
        <w:t>投标文件递交时间：</w:t>
      </w:r>
      <w:r>
        <w:rPr>
          <w:rFonts w:hint="eastAsia" w:ascii="宋体" w:hAnsi="宋体" w:cs="宋体"/>
          <w:b/>
          <w:u w:val="single"/>
        </w:rPr>
        <w:t>2018年</w:t>
      </w:r>
      <w:r>
        <w:rPr>
          <w:rFonts w:hint="eastAsia" w:ascii="宋体" w:hAnsi="宋体" w:cs="宋体"/>
          <w:b/>
          <w:u w:val="single"/>
          <w:lang w:val="en-US" w:eastAsia="zh-CN"/>
        </w:rPr>
        <w:t>7</w:t>
      </w:r>
      <w:r>
        <w:rPr>
          <w:rFonts w:hint="eastAsia" w:ascii="宋体" w:hAnsi="宋体" w:cs="宋体"/>
          <w:b/>
          <w:u w:val="single"/>
        </w:rPr>
        <w:t>月</w:t>
      </w:r>
      <w:r>
        <w:rPr>
          <w:rFonts w:hint="eastAsia" w:ascii="宋体" w:hAnsi="宋体" w:cs="宋体"/>
          <w:b/>
          <w:u w:val="single"/>
          <w:lang w:val="en-US" w:eastAsia="zh-CN"/>
        </w:rPr>
        <w:t>5</w:t>
      </w:r>
      <w:r>
        <w:rPr>
          <w:rFonts w:hint="eastAsia" w:ascii="宋体" w:hAnsi="宋体" w:cs="宋体"/>
          <w:b/>
          <w:u w:val="single"/>
        </w:rPr>
        <w:t>日</w:t>
      </w:r>
      <w:r>
        <w:rPr>
          <w:rFonts w:hint="eastAsia" w:ascii="宋体" w:hAnsi="宋体" w:cs="宋体"/>
          <w:lang w:eastAsia="zh-CN"/>
        </w:rPr>
        <w:t>上</w:t>
      </w:r>
      <w:r>
        <w:rPr>
          <w:rFonts w:hint="eastAsia" w:ascii="宋体" w:hAnsi="宋体" w:cs="宋体"/>
        </w:rPr>
        <w:t>午</w:t>
      </w:r>
      <w:r>
        <w:rPr>
          <w:rFonts w:hint="eastAsia" w:ascii="宋体" w:hAnsi="宋体" w:cs="宋体"/>
          <w:lang w:val="en-US" w:eastAsia="zh-CN"/>
        </w:rPr>
        <w:t>9</w:t>
      </w:r>
      <w:r>
        <w:rPr>
          <w:rFonts w:hint="eastAsia" w:ascii="宋体" w:hAnsi="宋体" w:cs="宋体"/>
        </w:rPr>
        <w:t>:</w:t>
      </w:r>
      <w:r>
        <w:rPr>
          <w:rFonts w:hint="eastAsia" w:ascii="宋体" w:hAnsi="宋体" w:cs="宋体"/>
          <w:lang w:val="en-US" w:eastAsia="zh-CN"/>
        </w:rPr>
        <w:t>0</w:t>
      </w:r>
      <w:r>
        <w:rPr>
          <w:rFonts w:hint="eastAsia" w:ascii="宋体" w:hAnsi="宋体" w:cs="宋体"/>
        </w:rPr>
        <w:t>0～</w:t>
      </w:r>
      <w:r>
        <w:rPr>
          <w:rFonts w:hint="eastAsia" w:ascii="宋体" w:hAnsi="宋体" w:cs="宋体"/>
          <w:lang w:val="en-US" w:eastAsia="zh-CN"/>
        </w:rPr>
        <w:t>9</w:t>
      </w:r>
      <w:r>
        <w:rPr>
          <w:rFonts w:hint="eastAsia" w:ascii="宋体" w:hAnsi="宋体" w:cs="宋体"/>
        </w:rPr>
        <w:t>:</w:t>
      </w:r>
      <w:r>
        <w:rPr>
          <w:rFonts w:hint="eastAsia" w:ascii="宋体" w:hAnsi="宋体" w:cs="宋体"/>
          <w:lang w:val="en-US" w:eastAsia="zh-CN"/>
        </w:rPr>
        <w:t>30</w:t>
      </w:r>
      <w:r>
        <w:rPr>
          <w:rFonts w:hint="eastAsia" w:ascii="宋体" w:hAnsi="宋体" w:cs="宋体"/>
        </w:rPr>
        <w:t>；</w:t>
      </w:r>
    </w:p>
    <w:p>
      <w:pPr>
        <w:numPr>
          <w:ilvl w:val="0"/>
          <w:numId w:val="2"/>
        </w:numPr>
        <w:tabs>
          <w:tab w:val="left" w:pos="540"/>
          <w:tab w:val="clear" w:pos="420"/>
        </w:tabs>
        <w:spacing w:line="360" w:lineRule="auto"/>
        <w:ind w:left="540" w:hanging="540"/>
        <w:rPr>
          <w:rFonts w:hint="eastAsia" w:ascii="宋体" w:hAnsi="宋体" w:cs="宋体"/>
        </w:rPr>
      </w:pPr>
      <w:r>
        <w:rPr>
          <w:rFonts w:hint="eastAsia" w:ascii="宋体" w:hAnsi="宋体" w:cs="宋体"/>
        </w:rPr>
        <w:t>投标截止时间：</w:t>
      </w:r>
      <w:r>
        <w:rPr>
          <w:rFonts w:hint="eastAsia" w:ascii="宋体" w:hAnsi="宋体" w:cs="宋体"/>
          <w:b/>
          <w:u w:val="single"/>
        </w:rPr>
        <w:t>2018年</w:t>
      </w:r>
      <w:r>
        <w:rPr>
          <w:rFonts w:hint="eastAsia" w:ascii="宋体" w:hAnsi="宋体" w:cs="宋体"/>
          <w:b/>
          <w:u w:val="single"/>
          <w:lang w:val="en-US" w:eastAsia="zh-CN"/>
        </w:rPr>
        <w:t>7</w:t>
      </w:r>
      <w:r>
        <w:rPr>
          <w:rFonts w:hint="eastAsia" w:ascii="宋体" w:hAnsi="宋体" w:cs="宋体"/>
          <w:b/>
          <w:u w:val="single"/>
        </w:rPr>
        <w:t>月</w:t>
      </w:r>
      <w:r>
        <w:rPr>
          <w:rFonts w:hint="eastAsia" w:ascii="宋体" w:hAnsi="宋体" w:cs="宋体"/>
          <w:b/>
          <w:u w:val="single"/>
          <w:lang w:val="en-US" w:eastAsia="zh-CN"/>
        </w:rPr>
        <w:t>5</w:t>
      </w:r>
      <w:r>
        <w:rPr>
          <w:rFonts w:hint="eastAsia" w:ascii="宋体" w:hAnsi="宋体" w:cs="宋体"/>
          <w:b/>
          <w:u w:val="single"/>
        </w:rPr>
        <w:t>日</w:t>
      </w:r>
      <w:r>
        <w:rPr>
          <w:rFonts w:hint="eastAsia" w:ascii="宋体" w:hAnsi="宋体" w:cs="宋体"/>
          <w:lang w:eastAsia="zh-CN"/>
        </w:rPr>
        <w:t>上</w:t>
      </w:r>
      <w:r>
        <w:rPr>
          <w:rFonts w:hint="eastAsia" w:ascii="宋体" w:hAnsi="宋体" w:cs="宋体"/>
        </w:rPr>
        <w:t>午</w:t>
      </w:r>
      <w:r>
        <w:rPr>
          <w:rFonts w:hint="eastAsia" w:ascii="宋体" w:hAnsi="宋体" w:cs="宋体"/>
          <w:lang w:val="en-US" w:eastAsia="zh-CN"/>
        </w:rPr>
        <w:t>09</w:t>
      </w:r>
      <w:r>
        <w:rPr>
          <w:rFonts w:hint="eastAsia" w:ascii="宋体" w:hAnsi="宋体" w:cs="宋体"/>
        </w:rPr>
        <w:t>:</w:t>
      </w:r>
      <w:r>
        <w:rPr>
          <w:rFonts w:hint="eastAsia" w:ascii="宋体" w:hAnsi="宋体" w:cs="宋体"/>
          <w:lang w:val="en-US" w:eastAsia="zh-CN"/>
        </w:rPr>
        <w:t>3</w:t>
      </w:r>
      <w:r>
        <w:rPr>
          <w:rFonts w:hint="eastAsia" w:ascii="宋体" w:hAnsi="宋体" w:cs="宋体"/>
        </w:rPr>
        <w:t>0；</w:t>
      </w:r>
    </w:p>
    <w:p>
      <w:pPr>
        <w:numPr>
          <w:ilvl w:val="0"/>
          <w:numId w:val="2"/>
        </w:numPr>
        <w:tabs>
          <w:tab w:val="left" w:pos="540"/>
          <w:tab w:val="clear" w:pos="420"/>
        </w:tabs>
        <w:spacing w:line="360" w:lineRule="auto"/>
        <w:ind w:left="540" w:hanging="540"/>
        <w:rPr>
          <w:rFonts w:hint="eastAsia" w:ascii="宋体" w:hAnsi="宋体" w:cs="宋体"/>
        </w:rPr>
      </w:pPr>
      <w:r>
        <w:rPr>
          <w:rFonts w:hint="eastAsia" w:ascii="宋体" w:hAnsi="宋体" w:cs="宋体"/>
        </w:rPr>
        <w:t>开标评标时间：</w:t>
      </w:r>
      <w:r>
        <w:rPr>
          <w:rFonts w:hint="eastAsia" w:ascii="宋体" w:hAnsi="宋体" w:cs="宋体"/>
          <w:b/>
          <w:u w:val="single"/>
        </w:rPr>
        <w:t>2018年</w:t>
      </w:r>
      <w:r>
        <w:rPr>
          <w:rFonts w:hint="eastAsia" w:ascii="宋体" w:hAnsi="宋体" w:cs="宋体"/>
          <w:b/>
          <w:u w:val="single"/>
          <w:lang w:val="en-US" w:eastAsia="zh-CN"/>
        </w:rPr>
        <w:t>7</w:t>
      </w:r>
      <w:r>
        <w:rPr>
          <w:rFonts w:hint="eastAsia" w:ascii="宋体" w:hAnsi="宋体" w:cs="宋体"/>
          <w:b/>
          <w:u w:val="single"/>
        </w:rPr>
        <w:t>月</w:t>
      </w:r>
      <w:r>
        <w:rPr>
          <w:rFonts w:hint="eastAsia" w:ascii="宋体" w:hAnsi="宋体" w:cs="宋体"/>
          <w:b/>
          <w:u w:val="single"/>
          <w:lang w:val="en-US" w:eastAsia="zh-CN"/>
        </w:rPr>
        <w:t>5</w:t>
      </w:r>
      <w:r>
        <w:rPr>
          <w:rFonts w:hint="eastAsia" w:ascii="宋体" w:hAnsi="宋体" w:cs="宋体"/>
          <w:b/>
          <w:u w:val="single"/>
        </w:rPr>
        <w:t>日</w:t>
      </w:r>
      <w:r>
        <w:rPr>
          <w:rFonts w:hint="eastAsia" w:ascii="宋体" w:hAnsi="宋体" w:cs="宋体"/>
          <w:lang w:eastAsia="zh-CN"/>
        </w:rPr>
        <w:t>上</w:t>
      </w:r>
      <w:r>
        <w:rPr>
          <w:rFonts w:hint="eastAsia" w:ascii="宋体" w:hAnsi="宋体" w:cs="宋体"/>
        </w:rPr>
        <w:t>午</w:t>
      </w:r>
      <w:r>
        <w:rPr>
          <w:rFonts w:hint="eastAsia" w:ascii="宋体" w:hAnsi="宋体" w:cs="宋体"/>
          <w:lang w:val="en-US" w:eastAsia="zh-CN"/>
        </w:rPr>
        <w:t>09</w:t>
      </w:r>
      <w:r>
        <w:rPr>
          <w:rFonts w:hint="eastAsia" w:ascii="宋体" w:hAnsi="宋体" w:cs="宋体"/>
        </w:rPr>
        <w:t>:</w:t>
      </w:r>
      <w:r>
        <w:rPr>
          <w:rFonts w:hint="eastAsia" w:ascii="宋体" w:hAnsi="宋体" w:cs="宋体"/>
          <w:lang w:val="en-US" w:eastAsia="zh-CN"/>
        </w:rPr>
        <w:t>3</w:t>
      </w:r>
      <w:r>
        <w:rPr>
          <w:rFonts w:hint="eastAsia" w:ascii="宋体" w:hAnsi="宋体" w:cs="宋体"/>
        </w:rPr>
        <w:t>0；</w:t>
      </w:r>
    </w:p>
    <w:p>
      <w:pPr>
        <w:numPr>
          <w:ilvl w:val="0"/>
          <w:numId w:val="2"/>
        </w:numPr>
        <w:tabs>
          <w:tab w:val="left" w:pos="540"/>
          <w:tab w:val="clear" w:pos="420"/>
        </w:tabs>
        <w:spacing w:line="360" w:lineRule="auto"/>
        <w:ind w:left="540" w:hanging="540"/>
        <w:rPr>
          <w:rFonts w:hint="eastAsia" w:ascii="宋体" w:hAnsi="宋体" w:cs="宋体"/>
        </w:rPr>
      </w:pPr>
      <w:r>
        <w:rPr>
          <w:rFonts w:hint="eastAsia" w:ascii="宋体" w:hAnsi="宋体" w:cs="宋体"/>
        </w:rPr>
        <w:t>投标文件送达地点：中山市五桂山岭东上筑花园商铺1卡2层广东华联建设投资管理股份有限公司中山分公司开标室。</w:t>
      </w:r>
    </w:p>
    <w:p>
      <w:pPr>
        <w:numPr>
          <w:ilvl w:val="0"/>
          <w:numId w:val="2"/>
        </w:numPr>
        <w:tabs>
          <w:tab w:val="left" w:pos="540"/>
          <w:tab w:val="clear" w:pos="420"/>
        </w:tabs>
        <w:spacing w:line="360" w:lineRule="auto"/>
        <w:ind w:left="540" w:hanging="540"/>
        <w:rPr>
          <w:rFonts w:hint="eastAsia" w:ascii="宋体" w:hAnsi="宋体" w:cs="宋体"/>
        </w:rPr>
      </w:pPr>
      <w:r>
        <w:rPr>
          <w:rFonts w:hint="eastAsia" w:ascii="宋体" w:hAnsi="宋体" w:cs="宋体"/>
        </w:rPr>
        <w:t>在投标截止时间以后送达的投标文件，招标代理机构将拒绝接受。</w:t>
      </w:r>
    </w:p>
    <w:p>
      <w:pPr>
        <w:numPr>
          <w:ilvl w:val="0"/>
          <w:numId w:val="3"/>
        </w:numPr>
        <w:tabs>
          <w:tab w:val="left" w:pos="540"/>
          <w:tab w:val="clear" w:pos="840"/>
        </w:tabs>
        <w:spacing w:line="360" w:lineRule="auto"/>
        <w:ind w:left="540" w:hanging="540"/>
        <w:rPr>
          <w:rFonts w:hint="eastAsia" w:ascii="宋体" w:hAnsi="宋体" w:cs="宋体"/>
          <w:szCs w:val="21"/>
        </w:rPr>
      </w:pPr>
      <w:r>
        <w:rPr>
          <w:rFonts w:hint="eastAsia" w:ascii="宋体" w:hAnsi="宋体" w:cs="宋体"/>
          <w:szCs w:val="21"/>
        </w:rPr>
        <w:t>联系事项</w:t>
      </w:r>
    </w:p>
    <w:p>
      <w:pPr>
        <w:numPr>
          <w:ilvl w:val="0"/>
          <w:numId w:val="4"/>
        </w:numPr>
        <w:tabs>
          <w:tab w:val="left" w:pos="0"/>
          <w:tab w:val="left" w:pos="540"/>
          <w:tab w:val="left" w:pos="5220"/>
        </w:tabs>
        <w:spacing w:line="360" w:lineRule="auto"/>
        <w:ind w:left="425" w:leftChars="0" w:hanging="425" w:firstLineChars="0"/>
        <w:rPr>
          <w:rFonts w:hint="eastAsia" w:ascii="宋体" w:hAnsi="宋体" w:cs="宋体"/>
          <w:szCs w:val="21"/>
        </w:rPr>
      </w:pPr>
      <w:r>
        <w:rPr>
          <w:rFonts w:hint="eastAsia" w:ascii="宋体" w:hAnsi="宋体" w:cs="宋体"/>
          <w:szCs w:val="21"/>
        </w:rPr>
        <w:t>采购人：</w:t>
      </w:r>
      <w:r>
        <w:rPr>
          <w:rFonts w:hint="eastAsia" w:ascii="宋体" w:hAnsi="宋体" w:cs="宋体"/>
          <w:bCs/>
          <w:szCs w:val="21"/>
          <w:lang w:eastAsia="zh-CN"/>
        </w:rPr>
        <w:t>中华人民共和国中山海关</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地    址：中山市</w:t>
      </w:r>
      <w:r>
        <w:rPr>
          <w:rFonts w:hint="eastAsia" w:ascii="宋体" w:hAnsi="宋体" w:cs="宋体"/>
          <w:szCs w:val="21"/>
          <w:lang w:eastAsia="zh-CN"/>
        </w:rPr>
        <w:t>中山五路</w:t>
      </w:r>
    </w:p>
    <w:p>
      <w:pPr>
        <w:spacing w:line="360" w:lineRule="auto"/>
        <w:ind w:firstLine="539" w:firstLineChars="257"/>
        <w:rPr>
          <w:rFonts w:hint="eastAsia" w:ascii="宋体" w:hAnsi="宋体" w:cs="宋体"/>
          <w:szCs w:val="21"/>
        </w:rPr>
      </w:pPr>
      <w:r>
        <w:rPr>
          <w:rFonts w:hint="eastAsia" w:ascii="宋体" w:hAnsi="宋体" w:cs="宋体"/>
          <w:szCs w:val="21"/>
        </w:rPr>
        <w:t>联系人：杨小姐</w:t>
      </w:r>
      <w:r>
        <w:rPr>
          <w:rFonts w:hint="eastAsia" w:ascii="宋体" w:hAnsi="宋体" w:cs="宋体"/>
          <w:bCs/>
          <w:szCs w:val="21"/>
        </w:rPr>
        <w:t xml:space="preserve">  </w:t>
      </w:r>
      <w:r>
        <w:rPr>
          <w:rFonts w:hint="eastAsia" w:ascii="宋体" w:hAnsi="宋体" w:cs="宋体"/>
          <w:szCs w:val="21"/>
        </w:rPr>
        <w:t xml:space="preserve">                         联系电话：</w:t>
      </w:r>
      <w:r>
        <w:rPr>
          <w:rFonts w:hint="eastAsia" w:ascii="宋体"/>
          <w:color w:val="auto"/>
        </w:rPr>
        <w:t>0760—88666412</w:t>
      </w:r>
    </w:p>
    <w:p>
      <w:pPr>
        <w:numPr>
          <w:ilvl w:val="0"/>
          <w:numId w:val="4"/>
        </w:numPr>
        <w:tabs>
          <w:tab w:val="left" w:pos="0"/>
          <w:tab w:val="left" w:pos="540"/>
          <w:tab w:val="left" w:pos="5220"/>
        </w:tabs>
        <w:spacing w:line="360" w:lineRule="auto"/>
        <w:ind w:left="425" w:leftChars="0" w:hanging="425" w:firstLineChars="0"/>
        <w:rPr>
          <w:rFonts w:hint="eastAsia" w:ascii="宋体" w:hAnsi="宋体" w:cs="宋体"/>
          <w:szCs w:val="21"/>
        </w:rPr>
      </w:pPr>
      <w:r>
        <w:rPr>
          <w:rFonts w:hint="eastAsia" w:ascii="宋体" w:hAnsi="宋体" w:cs="宋体"/>
          <w:szCs w:val="21"/>
        </w:rPr>
        <w:t xml:space="preserve">采购代理机构：广东华联建设投资管理股份有限公司中山分公司   </w:t>
      </w:r>
    </w:p>
    <w:p>
      <w:pPr>
        <w:spacing w:line="360" w:lineRule="auto"/>
        <w:ind w:firstLine="539" w:firstLineChars="257"/>
        <w:rPr>
          <w:rFonts w:hint="eastAsia" w:ascii="宋体" w:hAnsi="宋体" w:cs="宋体"/>
          <w:szCs w:val="21"/>
        </w:rPr>
      </w:pPr>
      <w:r>
        <w:rPr>
          <w:rFonts w:hint="eastAsia" w:ascii="宋体" w:hAnsi="宋体" w:cs="宋体"/>
          <w:szCs w:val="21"/>
        </w:rPr>
        <w:t xml:space="preserve">地址：中山市五桂山镇岭东上筑花园1卡二楼 </w:t>
      </w:r>
    </w:p>
    <w:p>
      <w:pPr>
        <w:spacing w:line="360" w:lineRule="auto"/>
        <w:ind w:firstLine="539" w:firstLineChars="257"/>
        <w:rPr>
          <w:rFonts w:hint="eastAsia" w:ascii="宋体" w:hAnsi="宋体" w:cs="宋体"/>
          <w:szCs w:val="21"/>
        </w:rPr>
      </w:pPr>
      <w:r>
        <w:rPr>
          <w:rFonts w:hint="eastAsia" w:ascii="宋体" w:hAnsi="宋体" w:cs="宋体"/>
          <w:szCs w:val="21"/>
        </w:rPr>
        <w:t>联系人：许小姐                    联系电话：0760-88869878</w:t>
      </w:r>
    </w:p>
    <w:p>
      <w:pPr>
        <w:spacing w:line="360" w:lineRule="auto"/>
        <w:ind w:firstLine="539" w:firstLineChars="257"/>
        <w:rPr>
          <w:rFonts w:hint="eastAsia" w:ascii="宋体" w:hAnsi="宋体" w:cs="宋体"/>
          <w:szCs w:val="21"/>
        </w:rPr>
      </w:pPr>
      <w:r>
        <w:rPr>
          <w:rFonts w:hint="eastAsia" w:ascii="宋体" w:hAnsi="宋体" w:cs="宋体"/>
          <w:szCs w:val="21"/>
        </w:rPr>
        <w:t xml:space="preserve">传真：0760-88869878               邮编：528400 </w:t>
      </w:r>
    </w:p>
    <w:p>
      <w:pPr>
        <w:numPr>
          <w:ilvl w:val="0"/>
          <w:numId w:val="4"/>
        </w:numPr>
        <w:tabs>
          <w:tab w:val="left" w:pos="0"/>
          <w:tab w:val="left" w:pos="540"/>
          <w:tab w:val="left" w:pos="5220"/>
        </w:tabs>
        <w:spacing w:line="360" w:lineRule="auto"/>
        <w:ind w:left="425" w:leftChars="0" w:hanging="425" w:firstLineChars="0"/>
        <w:rPr>
          <w:rFonts w:hint="eastAsia" w:ascii="宋体" w:hAnsi="宋体" w:cs="宋体"/>
          <w:szCs w:val="21"/>
        </w:rPr>
      </w:pPr>
      <w:r>
        <w:rPr>
          <w:rFonts w:hint="eastAsia" w:ascii="宋体" w:hAnsi="宋体" w:cs="宋体"/>
          <w:szCs w:val="21"/>
        </w:rPr>
        <w:t xml:space="preserve">采购项目联系人：许小姐            联系电话：0760-88869878 </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spacing w:line="360" w:lineRule="auto"/>
        <w:ind w:right="420" w:firstLine="3360" w:firstLineChars="1600"/>
        <w:rPr>
          <w:rFonts w:hint="eastAsia" w:ascii="宋体" w:hAnsi="宋体" w:cs="宋体"/>
          <w:szCs w:val="21"/>
          <w:u w:val="single"/>
        </w:rPr>
      </w:pPr>
      <w:r>
        <w:rPr>
          <w:rFonts w:hint="eastAsia" w:ascii="宋体" w:hAnsi="宋体" w:cs="宋体"/>
          <w:szCs w:val="21"/>
        </w:rPr>
        <w:t>发布人：广东华联建设投资管理股份有限公司中山分公司</w:t>
      </w:r>
    </w:p>
    <w:p>
      <w:pPr>
        <w:spacing w:line="360" w:lineRule="auto"/>
        <w:ind w:right="420" w:firstLine="3360" w:firstLineChars="1600"/>
        <w:rPr>
          <w:rFonts w:hint="eastAsia" w:ascii="宋体" w:hAnsi="宋体" w:cs="宋体"/>
          <w:b w:val="0"/>
          <w:bCs w:val="0"/>
          <w:szCs w:val="21"/>
          <w:u w:val="single"/>
        </w:rPr>
      </w:pPr>
      <w:r>
        <w:rPr>
          <w:rFonts w:hint="eastAsia" w:ascii="宋体" w:hAnsi="宋体" w:cs="宋体"/>
          <w:szCs w:val="21"/>
        </w:rPr>
        <w:t>发布时间：</w:t>
      </w:r>
      <w:r>
        <w:rPr>
          <w:rFonts w:hint="eastAsia" w:ascii="宋体" w:hAnsi="宋体" w:cs="宋体"/>
          <w:b w:val="0"/>
          <w:bCs w:val="0"/>
          <w:szCs w:val="21"/>
          <w:u w:val="single"/>
        </w:rPr>
        <w:t>201</w:t>
      </w:r>
      <w:r>
        <w:rPr>
          <w:rFonts w:hint="eastAsia" w:ascii="宋体" w:hAnsi="宋体" w:cs="宋体"/>
          <w:b w:val="0"/>
          <w:bCs w:val="0"/>
          <w:szCs w:val="21"/>
          <w:u w:val="single"/>
          <w:lang w:val="en-US" w:eastAsia="zh-CN"/>
        </w:rPr>
        <w:t>8</w:t>
      </w:r>
      <w:r>
        <w:rPr>
          <w:rFonts w:hint="eastAsia" w:ascii="宋体" w:hAnsi="宋体" w:cs="宋体"/>
          <w:b w:val="0"/>
          <w:bCs w:val="0"/>
          <w:szCs w:val="21"/>
          <w:u w:val="single"/>
        </w:rPr>
        <w:t>年</w:t>
      </w:r>
      <w:r>
        <w:rPr>
          <w:rFonts w:hint="eastAsia" w:ascii="宋体" w:hAnsi="宋体" w:cs="宋体"/>
          <w:b w:val="0"/>
          <w:bCs w:val="0"/>
          <w:szCs w:val="21"/>
          <w:u w:val="single"/>
          <w:lang w:val="en-US" w:eastAsia="zh-CN"/>
        </w:rPr>
        <w:t>6</w:t>
      </w:r>
      <w:r>
        <w:rPr>
          <w:rFonts w:hint="eastAsia" w:ascii="宋体" w:hAnsi="宋体" w:cs="宋体"/>
          <w:b w:val="0"/>
          <w:bCs w:val="0"/>
          <w:szCs w:val="21"/>
          <w:u w:val="single"/>
        </w:rPr>
        <w:t>月</w:t>
      </w:r>
      <w:r>
        <w:rPr>
          <w:rFonts w:hint="eastAsia" w:ascii="宋体" w:hAnsi="宋体" w:cs="宋体"/>
          <w:b w:val="0"/>
          <w:bCs w:val="0"/>
          <w:szCs w:val="21"/>
          <w:u w:val="single"/>
          <w:lang w:val="en-US" w:eastAsia="zh-CN"/>
        </w:rPr>
        <w:t>12</w:t>
      </w:r>
      <w:r>
        <w:rPr>
          <w:rFonts w:hint="eastAsia" w:ascii="宋体" w:hAnsi="宋体" w:cs="宋体"/>
          <w:b w:val="0"/>
          <w:bCs w:val="0"/>
          <w:szCs w:val="21"/>
          <w:u w:val="single"/>
        </w:rPr>
        <w:t>日</w:t>
      </w:r>
    </w:p>
    <w:p>
      <w:pPr>
        <w:spacing w:line="360" w:lineRule="auto"/>
        <w:ind w:right="420" w:firstLine="3360" w:firstLineChars="1600"/>
        <w:rPr>
          <w:rFonts w:hint="eastAsia" w:ascii="宋体" w:hAnsi="宋体" w:cs="宋体"/>
          <w:b w:val="0"/>
          <w:bCs w:val="0"/>
          <w:szCs w:val="21"/>
          <w:u w:val="single"/>
        </w:rPr>
      </w:pPr>
    </w:p>
    <w:p>
      <w:pPr>
        <w:wordWrap w:val="0"/>
        <w:spacing w:line="360" w:lineRule="auto"/>
        <w:jc w:val="right"/>
        <w:rPr>
          <w:color w:val="auto"/>
          <w:kern w:val="28"/>
        </w:rPr>
      </w:pPr>
      <w:r>
        <w:rPr>
          <w:rFonts w:hint="eastAsia" w:ascii="宋体" w:hAnsi="宋体" w:cs="宋体"/>
          <w:szCs w:val="21"/>
        </w:rPr>
        <w:t>（免责声明：本页面提供的内容是按照政府采购有关法律法规要求由采购人或采购代理机构发布的，本网站对其内容概不负责，亦不承担任何法律责任。）</w:t>
      </w:r>
    </w:p>
    <w:p>
      <w:pPr>
        <w:pageBreakBefore/>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r>
        <w:rPr>
          <w:rFonts w:hint="eastAsia" w:eastAsia="黑体"/>
          <w:b/>
          <w:color w:val="auto"/>
          <w:sz w:val="44"/>
        </w:rPr>
        <w:t>第二部分</w:t>
      </w:r>
    </w:p>
    <w:p>
      <w:pPr>
        <w:spacing w:line="480" w:lineRule="exact"/>
        <w:jc w:val="center"/>
        <w:rPr>
          <w:rFonts w:eastAsia="黑体"/>
          <w:b/>
          <w:color w:val="auto"/>
          <w:sz w:val="44"/>
        </w:rPr>
      </w:pPr>
    </w:p>
    <w:p>
      <w:pPr>
        <w:spacing w:line="480" w:lineRule="exact"/>
        <w:jc w:val="center"/>
        <w:rPr>
          <w:b/>
          <w:color w:val="auto"/>
          <w:sz w:val="44"/>
          <w:szCs w:val="44"/>
        </w:rPr>
      </w:pPr>
      <w:r>
        <w:rPr>
          <w:rFonts w:hint="eastAsia" w:ascii="黑体" w:eastAsia="黑体"/>
          <w:color w:val="auto"/>
          <w:sz w:val="44"/>
          <w:szCs w:val="44"/>
        </w:rPr>
        <w:t>用 户 需 求 书</w:t>
      </w: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numPr>
          <w:ilvl w:val="0"/>
          <w:numId w:val="5"/>
        </w:numPr>
        <w:spacing w:line="400" w:lineRule="exact"/>
        <w:ind w:left="0" w:leftChars="0" w:firstLine="420" w:firstLineChars="0"/>
        <w:rPr>
          <w:b/>
          <w:color w:val="auto"/>
          <w:szCs w:val="21"/>
        </w:rPr>
      </w:pPr>
      <w:r>
        <w:rPr>
          <w:rFonts w:ascii="宋体" w:hAnsi="宋体"/>
          <w:color w:val="auto"/>
          <w:szCs w:val="21"/>
        </w:rPr>
        <w:br w:type="page"/>
      </w:r>
      <w:r>
        <w:rPr>
          <w:rFonts w:hint="eastAsia"/>
          <w:b/>
          <w:color w:val="auto"/>
          <w:szCs w:val="21"/>
        </w:rPr>
        <w:t>总则</w:t>
      </w:r>
    </w:p>
    <w:p>
      <w:pPr>
        <w:spacing w:line="400" w:lineRule="exact"/>
        <w:ind w:firstLine="420" w:firstLineChars="200"/>
        <w:rPr>
          <w:rFonts w:ascii="宋体" w:hAnsi="宋体"/>
          <w:color w:val="auto"/>
          <w:szCs w:val="21"/>
        </w:rPr>
      </w:pPr>
      <w:r>
        <w:rPr>
          <w:rFonts w:hint="eastAsia" w:ascii="宋体" w:hAnsi="宋体"/>
          <w:color w:val="auto"/>
          <w:szCs w:val="21"/>
        </w:rPr>
        <w:t>1、本次招标项目：</w:t>
      </w:r>
      <w:r>
        <w:rPr>
          <w:rFonts w:hint="eastAsia" w:ascii="宋体" w:hAnsi="宋体"/>
          <w:color w:val="0000FF"/>
          <w:szCs w:val="21"/>
        </w:rPr>
        <w:t>201</w:t>
      </w:r>
      <w:r>
        <w:rPr>
          <w:rFonts w:hint="eastAsia" w:ascii="宋体" w:hAnsi="宋体"/>
          <w:color w:val="0000FF"/>
          <w:szCs w:val="21"/>
          <w:lang w:val="en-US" w:eastAsia="zh-CN"/>
        </w:rPr>
        <w:t>8</w:t>
      </w:r>
      <w:r>
        <w:rPr>
          <w:rFonts w:hint="eastAsia" w:ascii="宋体" w:hAnsi="宋体"/>
          <w:color w:val="0000FF"/>
          <w:szCs w:val="21"/>
        </w:rPr>
        <w:t>年11月1日至20</w:t>
      </w:r>
      <w:r>
        <w:rPr>
          <w:rFonts w:hint="eastAsia" w:ascii="宋体" w:hAnsi="宋体"/>
          <w:color w:val="0000FF"/>
          <w:szCs w:val="21"/>
          <w:lang w:val="en-US" w:eastAsia="zh-CN"/>
        </w:rPr>
        <w:t>20</w:t>
      </w:r>
      <w:r>
        <w:rPr>
          <w:rFonts w:hint="eastAsia" w:ascii="宋体" w:hAnsi="宋体"/>
          <w:color w:val="0000FF"/>
          <w:szCs w:val="21"/>
        </w:rPr>
        <w:t>年10月31日中山海关约40台</w:t>
      </w:r>
      <w:r>
        <w:rPr>
          <w:rFonts w:hint="eastAsia" w:ascii="宋体" w:hAnsi="宋体"/>
          <w:color w:val="auto"/>
          <w:szCs w:val="21"/>
        </w:rPr>
        <w:t>（注：合同期</w:t>
      </w:r>
      <w:r>
        <w:rPr>
          <w:rFonts w:hint="eastAsia" w:ascii="宋体" w:hAnsi="宋体"/>
          <w:color w:val="auto"/>
          <w:szCs w:val="21"/>
          <w:lang w:eastAsia="zh-CN"/>
        </w:rPr>
        <w:t>二</w:t>
      </w:r>
      <w:r>
        <w:rPr>
          <w:rFonts w:hint="eastAsia" w:ascii="宋体" w:hAnsi="宋体"/>
          <w:color w:val="auto"/>
          <w:szCs w:val="21"/>
        </w:rPr>
        <w:t>年；具体日期以中标后甲乙双方签订合同为准；车辆具体数量以合同期间招标人实有车辆数量为准）公务车辆的定点加油服务；</w:t>
      </w:r>
    </w:p>
    <w:p>
      <w:pPr>
        <w:spacing w:line="400" w:lineRule="exact"/>
        <w:ind w:firstLine="420" w:firstLineChars="200"/>
        <w:rPr>
          <w:rFonts w:ascii="宋体" w:hAnsi="宋体"/>
          <w:color w:val="auto"/>
          <w:szCs w:val="21"/>
        </w:rPr>
      </w:pPr>
      <w:r>
        <w:rPr>
          <w:rFonts w:hint="eastAsia" w:ascii="宋体" w:hAnsi="宋体"/>
          <w:color w:val="auto"/>
          <w:szCs w:val="21"/>
        </w:rPr>
        <w:t>2、加油站配置要求：①东区定点加油站，要求中山市城区范围内（包括：东区、西区、石岐区、南区）的加油站；②中山港定点加油站，要求距离中山港沿江东一路6号的中山海关驻中山港办事处大院直线距离10公里以内的加油站；③民众定点加油站，要求距离民众镇的中山保税物流中心大楼直线距离10公里以内的加油站；④小榄定点加油站，要求距离小榄港码头的直线距离10公里以内的加油站；⑤神湾定点加油站，要求距离神湾港码头的直线距离10公里以内的加油站。可以为采购人公务用车提供协议加油服务。</w:t>
      </w:r>
    </w:p>
    <w:p>
      <w:pPr>
        <w:spacing w:line="360" w:lineRule="auto"/>
        <w:ind w:firstLine="420" w:firstLineChars="200"/>
        <w:rPr>
          <w:rFonts w:ascii="宋体" w:hAnsi="宋体"/>
          <w:color w:val="auto"/>
          <w:szCs w:val="21"/>
        </w:rPr>
      </w:pPr>
      <w:r>
        <w:rPr>
          <w:rFonts w:hint="eastAsia" w:ascii="宋体" w:hAnsi="宋体"/>
          <w:color w:val="auto"/>
          <w:szCs w:val="21"/>
        </w:rPr>
        <w:t>3、油品品种供应范围：0#柴油和92#、95#汽油（投标人需同时具备供应该三种油品的能力）。</w:t>
      </w:r>
    </w:p>
    <w:p>
      <w:pPr>
        <w:spacing w:line="360" w:lineRule="auto"/>
        <w:ind w:firstLine="420" w:firstLineChars="200"/>
        <w:rPr>
          <w:color w:val="auto"/>
          <w:szCs w:val="21"/>
        </w:rPr>
      </w:pPr>
      <w:r>
        <w:rPr>
          <w:rFonts w:hint="eastAsia" w:ascii="宋体" w:hAnsi="宋体"/>
          <w:color w:val="auto"/>
          <w:szCs w:val="21"/>
        </w:rPr>
        <w:t>4、车辆加油卡开通及使用要求：所有公务用车需</w:t>
      </w:r>
      <w:r>
        <w:rPr>
          <w:rFonts w:hint="eastAsia"/>
          <w:color w:val="auto"/>
          <w:szCs w:val="21"/>
        </w:rPr>
        <w:t>开通加油卡，加油卡采用主副卡方式，一张主卡为管理卡，用于充值、分配等管理；每辆公务用车对应一张副卡，副卡只用于加油。中标人根据采购人提供的限定资料设定车辆加油卡限制信息。车辆加油时，中标人必须认真核对采购人车辆牌号、加油地点、油品类型、加油数量、加油金额等加油卡加油限制信息，并由司机在加油单据上签名，配合采购人加强车辆用油管理。另外，根据采购人的车辆情况，中标人为采购人开设25张备用卡（每个油站设备用卡5张），以备出现加油卡遗失等异常情况时可及时更改信息使用，保障正常的车辆用油。</w:t>
      </w:r>
    </w:p>
    <w:p>
      <w:pPr>
        <w:pStyle w:val="25"/>
        <w:spacing w:line="360" w:lineRule="auto"/>
        <w:ind w:firstLine="420" w:firstLineChars="200"/>
        <w:rPr>
          <w:color w:val="auto"/>
          <w:szCs w:val="21"/>
        </w:rPr>
      </w:pPr>
      <w:r>
        <w:rPr>
          <w:rFonts w:hint="eastAsia"/>
          <w:color w:val="auto"/>
        </w:rPr>
        <w:t>5、中标人对采购人首次办理加油卡，及今后因新增车辆、加油卡损坏和遗失等情况办理的加油卡应全部免费办理。</w:t>
      </w:r>
    </w:p>
    <w:p>
      <w:pPr>
        <w:spacing w:line="360" w:lineRule="auto"/>
        <w:ind w:firstLine="420" w:firstLineChars="200"/>
        <w:rPr>
          <w:rFonts w:ascii="宋体" w:hAnsi="宋体"/>
          <w:color w:val="auto"/>
          <w:szCs w:val="21"/>
        </w:rPr>
      </w:pPr>
      <w:r>
        <w:rPr>
          <w:rFonts w:hint="eastAsia" w:ascii="宋体" w:hAnsi="宋体"/>
          <w:color w:val="auto"/>
          <w:szCs w:val="21"/>
        </w:rPr>
        <w:t>6、中标人需对采购人加油卡充值、对账等事项提供便捷的服务方案。包括：提供对采购人公务用车主副卡余额动态监控服务，即当主卡出现余额不足时，能及时通知采购人充值；当副卡余额不足时，能及时从主卡内向副卡补充金额；中标人需每月向采购人送达加油卡对帐单及加油费发票，加油卡对帐单的内容包括：单位名称、卡号、卡上余额、车辆号牌及其每月加油情况明细（含每次加油的油品种类、数量、单价、金额清单）等；采购人公务用车每次加油后，加油小票需给回加油人。</w:t>
      </w:r>
    </w:p>
    <w:p>
      <w:pPr>
        <w:spacing w:line="360" w:lineRule="auto"/>
        <w:ind w:firstLine="420" w:firstLineChars="200"/>
        <w:rPr>
          <w:rFonts w:ascii="宋体" w:hAnsi="宋体"/>
          <w:color w:val="auto"/>
          <w:szCs w:val="21"/>
        </w:rPr>
      </w:pPr>
      <w:r>
        <w:rPr>
          <w:rFonts w:hint="eastAsia" w:ascii="宋体" w:hAnsi="宋体"/>
          <w:color w:val="auto"/>
          <w:szCs w:val="21"/>
        </w:rPr>
        <w:t>7、加油卡损坏、遗失等异常事件的处理。如果加油卡损坏，采购人凭旧卡到各加油网点换取新卡；如果加油卡遗失，采购人相关人员凭采购人开具的证明（加盖公章）及备用卡，自行到中标人指定网点办理旧加油卡的挂失手续，把旧卡信息更改到备用卡内。中标人应及时免费处理，保证采购人正常使用。每半年根据采购人需求，一次性补足备用卡总数。</w:t>
      </w:r>
    </w:p>
    <w:p>
      <w:pPr>
        <w:numPr>
          <w:ilvl w:val="0"/>
          <w:numId w:val="5"/>
        </w:numPr>
        <w:spacing w:line="400" w:lineRule="exact"/>
        <w:ind w:left="0" w:leftChars="0" w:firstLine="420" w:firstLineChars="0"/>
        <w:rPr>
          <w:rFonts w:ascii="宋体" w:hAnsi="宋体"/>
          <w:b/>
          <w:bCs w:val="0"/>
          <w:color w:val="auto"/>
          <w:szCs w:val="21"/>
        </w:rPr>
      </w:pPr>
      <w:r>
        <w:rPr>
          <w:rFonts w:hint="eastAsia"/>
          <w:b/>
          <w:bCs w:val="0"/>
          <w:color w:val="auto"/>
          <w:szCs w:val="21"/>
        </w:rPr>
        <w:t>其他</w:t>
      </w:r>
      <w:r>
        <w:rPr>
          <w:rFonts w:hint="eastAsia" w:ascii="宋体"/>
          <w:b/>
          <w:bCs w:val="0"/>
          <w:color w:val="auto"/>
          <w:szCs w:val="21"/>
        </w:rPr>
        <w:t>要求</w:t>
      </w:r>
    </w:p>
    <w:p>
      <w:pPr>
        <w:spacing w:line="400" w:lineRule="exact"/>
        <w:ind w:firstLine="420" w:firstLineChars="200"/>
        <w:rPr>
          <w:rFonts w:ascii="宋体" w:hAnsi="宋体"/>
          <w:b/>
          <w:color w:val="auto"/>
          <w:szCs w:val="21"/>
        </w:rPr>
      </w:pPr>
      <w:r>
        <w:rPr>
          <w:rFonts w:hint="eastAsia" w:ascii="宋体" w:hAnsi="宋体"/>
          <w:color w:val="auto"/>
          <w:szCs w:val="21"/>
        </w:rPr>
        <w:t>1、</w:t>
      </w:r>
      <w:r>
        <w:rPr>
          <w:rFonts w:hint="eastAsia" w:ascii="宋体" w:hAnsi="宋体"/>
          <w:b/>
          <w:color w:val="auto"/>
          <w:szCs w:val="21"/>
        </w:rPr>
        <w:t>本项目协议加油服务期限</w:t>
      </w:r>
      <w:r>
        <w:rPr>
          <w:rFonts w:hint="eastAsia" w:ascii="宋体" w:hAnsi="宋体"/>
          <w:b/>
          <w:color w:val="auto"/>
          <w:szCs w:val="21"/>
          <w:lang w:eastAsia="zh-CN"/>
        </w:rPr>
        <w:t>二</w:t>
      </w:r>
      <w:r>
        <w:rPr>
          <w:rFonts w:hint="eastAsia" w:ascii="宋体" w:hAnsi="宋体"/>
          <w:b/>
          <w:color w:val="auto"/>
          <w:szCs w:val="21"/>
        </w:rPr>
        <w:t>年</w:t>
      </w:r>
      <w:r>
        <w:rPr>
          <w:rFonts w:hint="eastAsia" w:ascii="宋体" w:hAnsi="宋体"/>
          <w:color w:val="auto"/>
          <w:szCs w:val="21"/>
        </w:rPr>
        <w:t>：</w:t>
      </w:r>
      <w:r>
        <w:rPr>
          <w:rFonts w:hint="eastAsia" w:ascii="宋体" w:hAnsi="宋体"/>
          <w:color w:val="0000FF"/>
          <w:szCs w:val="21"/>
        </w:rPr>
        <w:t>201</w:t>
      </w:r>
      <w:r>
        <w:rPr>
          <w:rFonts w:hint="eastAsia" w:ascii="宋体" w:hAnsi="宋体"/>
          <w:color w:val="0000FF"/>
          <w:szCs w:val="21"/>
          <w:lang w:val="en-US" w:eastAsia="zh-CN"/>
        </w:rPr>
        <w:t>8</w:t>
      </w:r>
      <w:r>
        <w:rPr>
          <w:rFonts w:hint="eastAsia" w:ascii="宋体" w:hAnsi="宋体"/>
          <w:color w:val="0000FF"/>
          <w:szCs w:val="21"/>
        </w:rPr>
        <w:t>年11月1日至20</w:t>
      </w:r>
      <w:r>
        <w:rPr>
          <w:rFonts w:hint="eastAsia" w:ascii="宋体" w:hAnsi="宋体"/>
          <w:color w:val="0000FF"/>
          <w:szCs w:val="21"/>
          <w:lang w:val="en-US" w:eastAsia="zh-CN"/>
        </w:rPr>
        <w:t>20</w:t>
      </w:r>
      <w:r>
        <w:rPr>
          <w:rFonts w:hint="eastAsia" w:ascii="宋体" w:hAnsi="宋体"/>
          <w:color w:val="0000FF"/>
          <w:szCs w:val="21"/>
        </w:rPr>
        <w:t>年10月31日（注：合同期</w:t>
      </w:r>
      <w:r>
        <w:rPr>
          <w:rFonts w:hint="eastAsia" w:ascii="宋体" w:hAnsi="宋体"/>
          <w:color w:val="0000FF"/>
          <w:szCs w:val="21"/>
          <w:lang w:eastAsia="zh-CN"/>
        </w:rPr>
        <w:t>二</w:t>
      </w:r>
      <w:r>
        <w:rPr>
          <w:rFonts w:hint="eastAsia" w:ascii="宋体" w:hAnsi="宋体"/>
          <w:color w:val="0000FF"/>
          <w:szCs w:val="21"/>
        </w:rPr>
        <w:t>年；</w:t>
      </w:r>
      <w:r>
        <w:rPr>
          <w:rFonts w:hint="eastAsia" w:ascii="宋体" w:hAnsi="宋体"/>
          <w:color w:val="auto"/>
          <w:szCs w:val="21"/>
        </w:rPr>
        <w:t>具体日期以中标后甲乙双方签订合同为准。</w:t>
      </w:r>
      <w:r>
        <w:rPr>
          <w:rFonts w:hint="eastAsia" w:ascii="宋体" w:hAnsi="宋体"/>
          <w:color w:val="auto"/>
          <w:szCs w:val="21"/>
          <w:lang w:eastAsia="zh-CN"/>
        </w:rPr>
        <w:t>）</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2、采购人有权在签订合同时对项目方案作适当修改调整或对服务内容作适量增加或减少。</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3、中标人未经采购人批准，不</w:t>
      </w:r>
      <w:bookmarkStart w:id="28" w:name="_GoBack"/>
      <w:bookmarkEnd w:id="28"/>
      <w:r>
        <w:rPr>
          <w:rFonts w:hint="eastAsia" w:ascii="宋体" w:hAnsi="宋体"/>
          <w:color w:val="auto"/>
          <w:szCs w:val="21"/>
        </w:rPr>
        <w:t>得以任何方式转包或分包本项目。</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4、油价应严格按中山市物价局规定的成品油油价为基准，并承诺给予政府协议加油一定的可优惠的金额(“可优惠的金额”指每升油可优惠的金额，例如：价格为7元/升的油，供应商承诺每升少收0.10元/升，实际卖6.90元/升，这0.10元就是所谓每升油可优惠的金额)；优惠价格在合同期限内是固定的；结算单价＝物价局规定的成品油基准油价（元）- 每升油可优惠的金额（元）。中标人不得随意降低可优惠金另行收费，要严格执行与采购人在合同中签订的可优惠金额。</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5、投标人必须具备稳定、可靠、合法的供油渠道和来源，提供的成品油的质量必须符合国家的有关质量规定。</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6、成品油必须规格齐全，质量稳定可靠。</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7、通讯方便（有直线电话），响应积极。</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8、营业网点布局合理、地理位置适中。</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9、必须接受、配合采购管理办及有关部门的核查工作。</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10、投标人具有合法的营业手续，各种计量计价设备准确齐全，具有完善的消防设备和措施。</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11、投标人必须对采购人提供的有关资料采取必要的保密措施。</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12、中标人应提供热情周到的服务。</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13、投标人报价应包含采购人需支付的全部费用，但不得包含购置其它物品的费用。</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14、结算方式：采购人根据车辆用油情况，在每月初收到中标人报送的上个月采购人公务车辆用油明细清单和发票后，经核对无误后在8个工作日内向中标人支付上个月供油货款；投标人可以提出与本身业务相适应、更安全、快捷的结算方式，但需经采购人协商同意。</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15、中标人应提供给予采购人的公务用车优先加油的服务。</w:t>
      </w:r>
    </w:p>
    <w:p>
      <w:pPr>
        <w:widowControl w:val="0"/>
        <w:spacing w:line="400" w:lineRule="exact"/>
        <w:ind w:firstLine="420" w:firstLineChars="200"/>
        <w:jc w:val="both"/>
        <w:rPr>
          <w:rFonts w:ascii="宋体" w:hAnsi="宋体"/>
          <w:color w:val="auto"/>
          <w:szCs w:val="21"/>
        </w:rPr>
      </w:pPr>
      <w:r>
        <w:rPr>
          <w:rFonts w:hint="eastAsia" w:ascii="宋体" w:hAnsi="宋体"/>
          <w:color w:val="auto"/>
          <w:szCs w:val="21"/>
        </w:rPr>
        <w:t>16、如遇到不可抗拒的政策性原因，采购人与中标人商议、协调后可提前终止合同，采购人不对此作任何赔偿。</w:t>
      </w:r>
    </w:p>
    <w:p>
      <w:pPr>
        <w:widowControl w:val="0"/>
        <w:spacing w:line="400" w:lineRule="exact"/>
        <w:ind w:firstLine="420" w:firstLineChars="200"/>
        <w:jc w:val="both"/>
        <w:rPr>
          <w:rFonts w:ascii="宋体" w:hAnsi="宋体"/>
          <w:color w:val="auto"/>
          <w:szCs w:val="21"/>
        </w:rPr>
      </w:pPr>
    </w:p>
    <w:p>
      <w:pPr>
        <w:pageBreakBefore/>
        <w:spacing w:line="480" w:lineRule="exact"/>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r>
        <w:rPr>
          <w:rFonts w:hint="eastAsia" w:eastAsia="黑体"/>
          <w:b/>
          <w:color w:val="auto"/>
          <w:sz w:val="44"/>
        </w:rPr>
        <w:t>第三部分</w:t>
      </w:r>
    </w:p>
    <w:p>
      <w:pPr>
        <w:spacing w:line="480" w:lineRule="exact"/>
        <w:jc w:val="center"/>
        <w:rPr>
          <w:rFonts w:eastAsia="黑体"/>
          <w:b/>
          <w:color w:val="auto"/>
          <w:sz w:val="44"/>
        </w:rPr>
      </w:pPr>
    </w:p>
    <w:p>
      <w:pPr>
        <w:spacing w:line="480" w:lineRule="exact"/>
        <w:jc w:val="center"/>
        <w:rPr>
          <w:b/>
          <w:color w:val="auto"/>
          <w:sz w:val="44"/>
        </w:rPr>
      </w:pPr>
      <w:r>
        <w:rPr>
          <w:rFonts w:hint="eastAsia" w:eastAsia="黑体"/>
          <w:b/>
          <w:color w:val="auto"/>
          <w:sz w:val="44"/>
        </w:rPr>
        <w:t>投 标 须 知</w:t>
      </w:r>
    </w:p>
    <w:p>
      <w:pPr>
        <w:spacing w:line="480" w:lineRule="exact"/>
        <w:jc w:val="center"/>
        <w:rPr>
          <w:b/>
          <w:color w:val="auto"/>
          <w:sz w:val="32"/>
          <w:szCs w:val="32"/>
        </w:rPr>
      </w:pPr>
      <w:r>
        <w:rPr>
          <w:color w:val="auto"/>
          <w:sz w:val="24"/>
        </w:rPr>
        <w:br w:type="page"/>
      </w:r>
      <w:r>
        <w:rPr>
          <w:rFonts w:hint="eastAsia"/>
          <w:b/>
          <w:color w:val="auto"/>
          <w:sz w:val="32"/>
          <w:szCs w:val="32"/>
        </w:rPr>
        <w:t>投标须知前附表</w:t>
      </w:r>
    </w:p>
    <w:tbl>
      <w:tblPr>
        <w:tblStyle w:val="58"/>
        <w:tblW w:w="9275" w:type="dxa"/>
        <w:tblInd w:w="16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761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trPr>
        <w:tc>
          <w:tcPr>
            <w:tcW w:w="829" w:type="dxa"/>
            <w:vAlign w:val="center"/>
          </w:tcPr>
          <w:p>
            <w:pPr>
              <w:jc w:val="center"/>
              <w:rPr>
                <w:b/>
                <w:color w:val="auto"/>
                <w:sz w:val="24"/>
                <w:szCs w:val="24"/>
              </w:rPr>
            </w:pPr>
            <w:r>
              <w:rPr>
                <w:rFonts w:hint="eastAsia"/>
                <w:b/>
                <w:color w:val="auto"/>
                <w:sz w:val="24"/>
                <w:szCs w:val="24"/>
              </w:rPr>
              <w:t>序号</w:t>
            </w:r>
          </w:p>
        </w:tc>
        <w:tc>
          <w:tcPr>
            <w:tcW w:w="829" w:type="dxa"/>
            <w:vAlign w:val="center"/>
          </w:tcPr>
          <w:p>
            <w:pPr>
              <w:jc w:val="center"/>
              <w:rPr>
                <w:b/>
                <w:color w:val="auto"/>
                <w:sz w:val="24"/>
                <w:szCs w:val="24"/>
              </w:rPr>
            </w:pPr>
            <w:r>
              <w:rPr>
                <w:rFonts w:hint="eastAsia"/>
                <w:b/>
                <w:color w:val="auto"/>
                <w:sz w:val="24"/>
                <w:szCs w:val="24"/>
              </w:rPr>
              <w:t>条款</w:t>
            </w:r>
          </w:p>
          <w:p>
            <w:pPr>
              <w:jc w:val="center"/>
              <w:rPr>
                <w:b/>
                <w:color w:val="auto"/>
              </w:rPr>
            </w:pPr>
            <w:r>
              <w:rPr>
                <w:rFonts w:hint="eastAsia"/>
                <w:b/>
                <w:color w:val="auto"/>
                <w:sz w:val="24"/>
                <w:szCs w:val="24"/>
              </w:rPr>
              <w:t>序号</w:t>
            </w:r>
          </w:p>
        </w:tc>
        <w:tc>
          <w:tcPr>
            <w:tcW w:w="7617" w:type="dxa"/>
            <w:vAlign w:val="center"/>
          </w:tcPr>
          <w:p>
            <w:pPr>
              <w:jc w:val="center"/>
              <w:rPr>
                <w:b/>
                <w:color w:val="auto"/>
                <w:sz w:val="24"/>
                <w:szCs w:val="24"/>
              </w:rPr>
            </w:pPr>
            <w:r>
              <w:rPr>
                <w:rFonts w:hint="eastAsia"/>
                <w:b/>
                <w:color w:val="auto"/>
                <w:sz w:val="24"/>
                <w:szCs w:val="24"/>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jc w:val="center"/>
              <w:rPr>
                <w:b/>
                <w:color w:val="auto"/>
              </w:rPr>
            </w:pPr>
          </w:p>
        </w:tc>
        <w:tc>
          <w:tcPr>
            <w:tcW w:w="829" w:type="dxa"/>
            <w:vAlign w:val="center"/>
          </w:tcPr>
          <w:p>
            <w:pPr>
              <w:jc w:val="center"/>
              <w:rPr>
                <w:b/>
                <w:color w:val="auto"/>
              </w:rPr>
            </w:pPr>
          </w:p>
        </w:tc>
        <w:tc>
          <w:tcPr>
            <w:tcW w:w="7617" w:type="dxa"/>
          </w:tcPr>
          <w:p>
            <w:pPr>
              <w:jc w:val="center"/>
              <w:rPr>
                <w:b/>
                <w:color w:val="auto"/>
              </w:rPr>
            </w:pPr>
            <w:r>
              <w:rPr>
                <w:rFonts w:hint="eastAsia"/>
                <w:b/>
                <w:color w:val="auto"/>
              </w:rPr>
              <w:t>一、 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r>
              <w:rPr>
                <w:rFonts w:hint="eastAsia"/>
                <w:b/>
                <w:color w:val="auto"/>
              </w:rPr>
              <w:t>1</w:t>
            </w:r>
          </w:p>
        </w:tc>
        <w:tc>
          <w:tcPr>
            <w:tcW w:w="829" w:type="dxa"/>
            <w:vAlign w:val="center"/>
          </w:tcPr>
          <w:p>
            <w:pPr>
              <w:spacing w:line="360" w:lineRule="auto"/>
              <w:jc w:val="center"/>
              <w:rPr>
                <w:b/>
                <w:color w:val="auto"/>
              </w:rPr>
            </w:pPr>
            <w:r>
              <w:rPr>
                <w:rFonts w:hint="eastAsia"/>
                <w:b/>
                <w:color w:val="auto"/>
              </w:rPr>
              <w:t>1</w:t>
            </w:r>
            <w:r>
              <w:rPr>
                <w:b/>
                <w:color w:val="auto"/>
              </w:rPr>
              <w:t>.</w:t>
            </w:r>
            <w:r>
              <w:rPr>
                <w:rFonts w:hint="eastAsia"/>
                <w:b/>
                <w:color w:val="auto"/>
              </w:rPr>
              <w:t>1</w:t>
            </w:r>
          </w:p>
        </w:tc>
        <w:tc>
          <w:tcPr>
            <w:tcW w:w="7617" w:type="dxa"/>
          </w:tcPr>
          <w:p>
            <w:pPr>
              <w:spacing w:line="360" w:lineRule="auto"/>
              <w:rPr>
                <w:color w:val="auto"/>
              </w:rPr>
            </w:pPr>
            <w:r>
              <w:rPr>
                <w:rFonts w:hAnsi="宋体"/>
                <w:color w:val="auto"/>
              </w:rPr>
              <w:t>项目综合说明</w:t>
            </w:r>
            <w:r>
              <w:rPr>
                <w:rFonts w:hint="eastAsia"/>
                <w:color w:val="auto"/>
              </w:rPr>
              <w:t>：</w:t>
            </w:r>
            <w:r>
              <w:rPr>
                <w:rFonts w:hint="eastAsia" w:hAnsi="宋体"/>
                <w:color w:val="auto"/>
                <w:kern w:val="28"/>
                <w:lang w:eastAsia="zh-CN"/>
              </w:rPr>
              <w:t>中山海关公务车辆2018-2020年定点加油采购项目</w:t>
            </w:r>
            <w:r>
              <w:rPr>
                <w:rFonts w:hint="eastAsia" w:ascii="宋体" w:hAnsi="宋体"/>
                <w:color w:val="auto"/>
                <w:kern w:val="28"/>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r>
              <w:rPr>
                <w:rFonts w:hint="eastAsia"/>
                <w:b/>
                <w:color w:val="auto"/>
              </w:rPr>
              <w:t>2</w:t>
            </w:r>
          </w:p>
        </w:tc>
        <w:tc>
          <w:tcPr>
            <w:tcW w:w="829" w:type="dxa"/>
            <w:vAlign w:val="center"/>
          </w:tcPr>
          <w:p>
            <w:pPr>
              <w:spacing w:line="360" w:lineRule="auto"/>
              <w:jc w:val="center"/>
              <w:rPr>
                <w:b/>
                <w:color w:val="auto"/>
              </w:rPr>
            </w:pPr>
            <w:r>
              <w:rPr>
                <w:rFonts w:hint="eastAsia"/>
                <w:b/>
                <w:color w:val="auto"/>
              </w:rPr>
              <w:t>2</w:t>
            </w:r>
            <w:r>
              <w:rPr>
                <w:b/>
                <w:color w:val="auto"/>
              </w:rPr>
              <w:t>.</w:t>
            </w:r>
            <w:r>
              <w:rPr>
                <w:rFonts w:hint="eastAsia"/>
                <w:b/>
                <w:color w:val="auto"/>
              </w:rPr>
              <w:t>1</w:t>
            </w:r>
          </w:p>
        </w:tc>
        <w:tc>
          <w:tcPr>
            <w:tcW w:w="7617" w:type="dxa"/>
          </w:tcPr>
          <w:p>
            <w:pPr>
              <w:spacing w:line="360" w:lineRule="auto"/>
              <w:rPr>
                <w:rFonts w:hAnsi="宋体"/>
                <w:color w:val="auto"/>
                <w:kern w:val="28"/>
              </w:rPr>
            </w:pPr>
            <w:r>
              <w:rPr>
                <w:rFonts w:hint="eastAsia" w:hAnsi="宋体"/>
                <w:color w:val="auto"/>
                <w:kern w:val="28"/>
              </w:rPr>
              <w:t>采购人名称：</w:t>
            </w:r>
            <w:r>
              <w:rPr>
                <w:rFonts w:hint="eastAsia" w:ascii="宋体" w:hAnsi="宋体" w:cs="宋体"/>
                <w:color w:val="auto"/>
                <w:kern w:val="28"/>
              </w:rPr>
              <w:t>中华人民共和国中山海关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r>
              <w:rPr>
                <w:rFonts w:hint="eastAsia"/>
                <w:b/>
                <w:color w:val="auto"/>
              </w:rPr>
              <w:t>3</w:t>
            </w:r>
          </w:p>
        </w:tc>
        <w:tc>
          <w:tcPr>
            <w:tcW w:w="829" w:type="dxa"/>
            <w:vAlign w:val="center"/>
          </w:tcPr>
          <w:p>
            <w:pPr>
              <w:spacing w:line="360" w:lineRule="auto"/>
              <w:jc w:val="center"/>
              <w:rPr>
                <w:b/>
                <w:color w:val="auto"/>
              </w:rPr>
            </w:pPr>
            <w:r>
              <w:rPr>
                <w:rFonts w:hint="eastAsia"/>
                <w:b/>
                <w:color w:val="auto"/>
              </w:rPr>
              <w:t>2.4</w:t>
            </w:r>
          </w:p>
        </w:tc>
        <w:tc>
          <w:tcPr>
            <w:tcW w:w="7617" w:type="dxa"/>
            <w:vAlign w:val="center"/>
          </w:tcPr>
          <w:p>
            <w:pPr>
              <w:spacing w:line="360" w:lineRule="auto"/>
              <w:rPr>
                <w:rFonts w:hAnsi="宋体"/>
                <w:color w:val="auto"/>
                <w:kern w:val="28"/>
              </w:rPr>
            </w:pPr>
            <w:r>
              <w:rPr>
                <w:rFonts w:hint="eastAsia" w:hAnsi="宋体"/>
                <w:color w:val="auto"/>
                <w:kern w:val="28"/>
              </w:rPr>
              <w:t>资格审查方式： 资格后审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r>
              <w:rPr>
                <w:rFonts w:hint="eastAsia"/>
                <w:b/>
                <w:color w:val="auto"/>
              </w:rPr>
              <w:t>4</w:t>
            </w:r>
          </w:p>
        </w:tc>
        <w:tc>
          <w:tcPr>
            <w:tcW w:w="829" w:type="dxa"/>
            <w:vAlign w:val="center"/>
          </w:tcPr>
          <w:p>
            <w:pPr>
              <w:spacing w:line="360" w:lineRule="auto"/>
              <w:jc w:val="center"/>
              <w:rPr>
                <w:b/>
                <w:color w:val="auto"/>
                <w:szCs w:val="21"/>
              </w:rPr>
            </w:pPr>
            <w:r>
              <w:rPr>
                <w:rFonts w:hint="eastAsia"/>
                <w:b/>
                <w:color w:val="auto"/>
              </w:rPr>
              <w:t>3.1</w:t>
            </w:r>
          </w:p>
        </w:tc>
        <w:tc>
          <w:tcPr>
            <w:tcW w:w="7617" w:type="dxa"/>
            <w:vAlign w:val="center"/>
          </w:tcPr>
          <w:p>
            <w:pPr>
              <w:jc w:val="both"/>
              <w:rPr>
                <w:color w:val="auto"/>
              </w:rPr>
            </w:pPr>
            <w:r>
              <w:rPr>
                <w:rFonts w:hint="eastAsia" w:hAnsi="宋体" w:cs="宋体"/>
                <w:color w:val="auto"/>
              </w:rPr>
              <w:t>本次采购服务必须是在中华人民共和国境内的服务。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r>
              <w:rPr>
                <w:rFonts w:hint="eastAsia"/>
                <w:b/>
                <w:color w:val="auto"/>
              </w:rPr>
              <w:t>5</w:t>
            </w:r>
          </w:p>
        </w:tc>
        <w:tc>
          <w:tcPr>
            <w:tcW w:w="829" w:type="dxa"/>
            <w:vAlign w:val="center"/>
          </w:tcPr>
          <w:p>
            <w:pPr>
              <w:spacing w:line="360" w:lineRule="auto"/>
              <w:jc w:val="center"/>
              <w:rPr>
                <w:rFonts w:hint="eastAsia"/>
                <w:b/>
                <w:bCs/>
                <w:color w:val="auto"/>
              </w:rPr>
            </w:pPr>
            <w:r>
              <w:rPr>
                <w:rFonts w:hint="eastAsia"/>
                <w:b/>
                <w:color w:val="auto"/>
              </w:rPr>
              <w:t>4.2</w:t>
            </w:r>
          </w:p>
        </w:tc>
        <w:tc>
          <w:tcPr>
            <w:tcW w:w="7617" w:type="dxa"/>
          </w:tcPr>
          <w:p>
            <w:pPr>
              <w:spacing w:line="360" w:lineRule="auto"/>
              <w:jc w:val="both"/>
              <w:rPr>
                <w:b/>
                <w:bCs/>
                <w:color w:val="auto"/>
              </w:rPr>
            </w:pPr>
            <w:r>
              <w:rPr>
                <w:rFonts w:hint="eastAsia"/>
                <w:b/>
                <w:bCs/>
                <w:color w:val="auto"/>
              </w:rPr>
              <w:t>本项目的招标代理服务费由中标人收到</w:t>
            </w:r>
            <w:r>
              <w:rPr>
                <w:rFonts w:hint="eastAsia"/>
                <w:b/>
                <w:bCs/>
                <w:color w:val="auto"/>
                <w:lang w:eastAsia="zh-CN"/>
              </w:rPr>
              <w:t>《</w:t>
            </w:r>
            <w:r>
              <w:rPr>
                <w:rFonts w:hint="eastAsia"/>
                <w:b/>
                <w:bCs/>
                <w:color w:val="auto"/>
              </w:rPr>
              <w:t>中标通知书</w:t>
            </w:r>
            <w:r>
              <w:rPr>
                <w:rFonts w:hint="eastAsia"/>
                <w:b/>
                <w:bCs/>
                <w:color w:val="auto"/>
                <w:lang w:eastAsia="zh-CN"/>
              </w:rPr>
              <w:t>》</w:t>
            </w:r>
            <w:r>
              <w:rPr>
                <w:rFonts w:hint="eastAsia"/>
                <w:b/>
                <w:bCs/>
                <w:color w:val="auto"/>
              </w:rPr>
              <w:t>当天一次性向</w:t>
            </w:r>
            <w:r>
              <w:rPr>
                <w:rFonts w:hint="eastAsia"/>
                <w:b/>
                <w:bCs/>
                <w:color w:val="auto"/>
                <w:lang w:eastAsia="zh-CN"/>
              </w:rPr>
              <w:t>广东华联建设投资管理股份有限公司中山分公司</w:t>
            </w:r>
            <w:r>
              <w:rPr>
                <w:rFonts w:hint="eastAsia"/>
                <w:b/>
                <w:bCs/>
                <w:color w:val="auto"/>
              </w:rPr>
              <w:t>交付。</w:t>
            </w:r>
          </w:p>
          <w:p>
            <w:pPr>
              <w:spacing w:line="360" w:lineRule="auto"/>
              <w:jc w:val="both"/>
              <w:rPr>
                <w:color w:val="auto"/>
              </w:rPr>
            </w:pPr>
            <w:r>
              <w:rPr>
                <w:rFonts w:hint="eastAsia"/>
                <w:color w:val="auto"/>
                <w:lang w:val="en-US" w:eastAsia="zh-CN"/>
              </w:rPr>
              <w:t>1、</w:t>
            </w:r>
            <w:r>
              <w:rPr>
                <w:rFonts w:hint="eastAsia"/>
                <w:color w:val="auto"/>
              </w:rPr>
              <w:t>服务费按国家收费标准并，金额分别如下：</w:t>
            </w:r>
          </w:p>
          <w:p>
            <w:pPr>
              <w:numPr>
                <w:ilvl w:val="0"/>
                <w:numId w:val="6"/>
              </w:numPr>
              <w:spacing w:line="360" w:lineRule="auto"/>
              <w:ind w:left="0" w:leftChars="0" w:firstLine="400" w:firstLineChars="0"/>
              <w:jc w:val="both"/>
              <w:rPr>
                <w:rFonts w:ascii="宋体" w:hAnsi="宋体"/>
                <w:color w:val="auto"/>
                <w:szCs w:val="21"/>
              </w:rPr>
            </w:pPr>
            <w:r>
              <w:rPr>
                <w:rFonts w:hint="eastAsia" w:ascii="宋体" w:hAnsi="宋体"/>
                <w:color w:val="auto"/>
                <w:szCs w:val="21"/>
              </w:rPr>
              <w:t>01包：东区定点加油站：人民币</w:t>
            </w:r>
            <w:r>
              <w:rPr>
                <w:rFonts w:hint="eastAsia" w:ascii="宋体" w:hAnsi="宋体" w:cs="宋体"/>
                <w:color w:val="auto"/>
                <w:szCs w:val="21"/>
                <w:lang w:val="en-US" w:eastAsia="zh-CN"/>
              </w:rPr>
              <w:t>3960</w:t>
            </w:r>
            <w:r>
              <w:rPr>
                <w:rFonts w:hint="eastAsia" w:ascii="宋体" w:hAnsi="宋体"/>
                <w:color w:val="auto"/>
                <w:szCs w:val="21"/>
              </w:rPr>
              <w:t>元</w:t>
            </w:r>
            <w:r>
              <w:rPr>
                <w:rFonts w:hint="eastAsia" w:ascii="宋体" w:hAnsi="宋体"/>
                <w:color w:val="auto"/>
                <w:szCs w:val="21"/>
                <w:lang w:eastAsia="zh-CN"/>
              </w:rPr>
              <w:t>（非开票金额）</w:t>
            </w:r>
          </w:p>
          <w:p>
            <w:pPr>
              <w:numPr>
                <w:ilvl w:val="0"/>
                <w:numId w:val="6"/>
              </w:numPr>
              <w:spacing w:line="360" w:lineRule="auto"/>
              <w:ind w:left="0" w:leftChars="0" w:firstLine="400" w:firstLineChars="0"/>
              <w:jc w:val="both"/>
              <w:rPr>
                <w:rFonts w:ascii="宋体" w:hAnsi="宋体"/>
                <w:color w:val="auto"/>
                <w:szCs w:val="21"/>
              </w:rPr>
            </w:pPr>
            <w:r>
              <w:rPr>
                <w:rFonts w:hint="eastAsia" w:ascii="宋体" w:hAnsi="宋体"/>
                <w:color w:val="auto"/>
                <w:szCs w:val="21"/>
              </w:rPr>
              <w:t>02包：中山港定点加油站：人民币</w:t>
            </w:r>
            <w:r>
              <w:rPr>
                <w:rFonts w:hint="eastAsia" w:ascii="宋体" w:hAnsi="宋体" w:cs="宋体"/>
                <w:color w:val="auto"/>
                <w:szCs w:val="21"/>
                <w:lang w:val="en-US" w:eastAsia="zh-CN"/>
              </w:rPr>
              <w:t>3300</w:t>
            </w:r>
            <w:r>
              <w:rPr>
                <w:rFonts w:hint="eastAsia" w:ascii="宋体" w:hAnsi="宋体"/>
                <w:color w:val="auto"/>
                <w:szCs w:val="21"/>
              </w:rPr>
              <w:t>元</w:t>
            </w:r>
            <w:r>
              <w:rPr>
                <w:rFonts w:hint="eastAsia" w:ascii="宋体" w:hAnsi="宋体"/>
                <w:color w:val="auto"/>
                <w:szCs w:val="21"/>
                <w:lang w:eastAsia="zh-CN"/>
              </w:rPr>
              <w:t>（非开票金额）</w:t>
            </w:r>
          </w:p>
          <w:p>
            <w:pPr>
              <w:numPr>
                <w:ilvl w:val="0"/>
                <w:numId w:val="6"/>
              </w:numPr>
              <w:spacing w:line="360" w:lineRule="auto"/>
              <w:ind w:left="0" w:leftChars="0" w:firstLine="400" w:firstLineChars="0"/>
              <w:jc w:val="both"/>
              <w:rPr>
                <w:rFonts w:ascii="宋体" w:hAnsi="宋体"/>
                <w:color w:val="auto"/>
                <w:szCs w:val="21"/>
              </w:rPr>
            </w:pPr>
            <w:r>
              <w:rPr>
                <w:rFonts w:hint="eastAsia" w:ascii="宋体" w:hAnsi="宋体"/>
                <w:color w:val="auto"/>
                <w:szCs w:val="21"/>
              </w:rPr>
              <w:t>03包：民众定点加油站：人民币</w:t>
            </w:r>
            <w:r>
              <w:rPr>
                <w:rFonts w:hint="eastAsia" w:ascii="宋体" w:hAnsi="宋体" w:cs="宋体"/>
                <w:color w:val="auto"/>
                <w:szCs w:val="21"/>
                <w:lang w:val="en-US" w:eastAsia="zh-CN"/>
              </w:rPr>
              <w:t>3630</w:t>
            </w:r>
            <w:r>
              <w:rPr>
                <w:rFonts w:hint="eastAsia" w:ascii="宋体" w:hAnsi="宋体"/>
                <w:color w:val="auto"/>
                <w:szCs w:val="21"/>
              </w:rPr>
              <w:t>元</w:t>
            </w:r>
            <w:r>
              <w:rPr>
                <w:rFonts w:hint="eastAsia" w:ascii="宋体" w:hAnsi="宋体"/>
                <w:color w:val="auto"/>
                <w:szCs w:val="21"/>
                <w:lang w:eastAsia="zh-CN"/>
              </w:rPr>
              <w:t>（非开票金额）</w:t>
            </w:r>
          </w:p>
          <w:p>
            <w:pPr>
              <w:numPr>
                <w:ilvl w:val="0"/>
                <w:numId w:val="6"/>
              </w:numPr>
              <w:spacing w:line="360" w:lineRule="auto"/>
              <w:ind w:left="0" w:leftChars="0" w:firstLine="400" w:firstLineChars="0"/>
              <w:jc w:val="both"/>
              <w:rPr>
                <w:rFonts w:ascii="宋体" w:hAnsi="宋体"/>
                <w:color w:val="auto"/>
                <w:szCs w:val="21"/>
              </w:rPr>
            </w:pPr>
            <w:r>
              <w:rPr>
                <w:rFonts w:hint="eastAsia" w:ascii="宋体" w:hAnsi="宋体"/>
                <w:color w:val="auto"/>
                <w:szCs w:val="21"/>
              </w:rPr>
              <w:t>04包：小榄定点加油站：人民币</w:t>
            </w:r>
            <w:r>
              <w:rPr>
                <w:rFonts w:hint="eastAsia" w:ascii="宋体" w:hAnsi="宋体" w:cs="宋体"/>
                <w:color w:val="auto"/>
                <w:szCs w:val="21"/>
                <w:lang w:val="en-US" w:eastAsia="zh-CN"/>
              </w:rPr>
              <w:t>3480</w:t>
            </w:r>
            <w:r>
              <w:rPr>
                <w:rFonts w:hint="eastAsia" w:ascii="宋体" w:hAnsi="宋体"/>
                <w:color w:val="auto"/>
                <w:szCs w:val="21"/>
              </w:rPr>
              <w:t>元</w:t>
            </w:r>
            <w:r>
              <w:rPr>
                <w:rFonts w:hint="eastAsia" w:ascii="宋体" w:hAnsi="宋体"/>
                <w:color w:val="auto"/>
                <w:szCs w:val="21"/>
                <w:lang w:eastAsia="zh-CN"/>
              </w:rPr>
              <w:t>（非开票金额）</w:t>
            </w:r>
          </w:p>
          <w:p>
            <w:pPr>
              <w:numPr>
                <w:ilvl w:val="0"/>
                <w:numId w:val="6"/>
              </w:numPr>
              <w:spacing w:line="360" w:lineRule="auto"/>
              <w:ind w:left="0" w:leftChars="0" w:firstLine="400" w:firstLineChars="0"/>
              <w:jc w:val="both"/>
              <w:rPr>
                <w:rFonts w:hint="eastAsia" w:ascii="宋体" w:hAnsi="宋体"/>
                <w:szCs w:val="21"/>
              </w:rPr>
            </w:pPr>
            <w:r>
              <w:rPr>
                <w:rFonts w:hint="eastAsia" w:ascii="宋体" w:hAnsi="宋体"/>
                <w:color w:val="auto"/>
                <w:szCs w:val="21"/>
              </w:rPr>
              <w:t>05包：神湾定点加油站：人民币</w:t>
            </w:r>
            <w:r>
              <w:rPr>
                <w:rFonts w:hint="eastAsia" w:ascii="宋体" w:hAnsi="宋体" w:cs="宋体"/>
                <w:color w:val="auto"/>
                <w:szCs w:val="21"/>
                <w:lang w:val="en-US" w:eastAsia="zh-CN"/>
              </w:rPr>
              <w:t>2130</w:t>
            </w:r>
            <w:r>
              <w:rPr>
                <w:rFonts w:hint="eastAsia" w:ascii="宋体" w:hAnsi="宋体"/>
                <w:color w:val="auto"/>
                <w:szCs w:val="21"/>
              </w:rPr>
              <w:t>元</w:t>
            </w:r>
            <w:r>
              <w:rPr>
                <w:rFonts w:hint="eastAsia" w:ascii="宋体" w:hAnsi="宋体"/>
                <w:color w:val="auto"/>
                <w:szCs w:val="21"/>
                <w:lang w:eastAsia="zh-CN"/>
              </w:rPr>
              <w:t>（非开票金额）</w:t>
            </w:r>
          </w:p>
          <w:p>
            <w:pPr>
              <w:numPr>
                <w:ilvl w:val="0"/>
                <w:numId w:val="0"/>
              </w:numPr>
              <w:tabs>
                <w:tab w:val="left" w:pos="720"/>
              </w:tabs>
              <w:spacing w:line="360" w:lineRule="auto"/>
              <w:ind w:leftChars="0"/>
              <w:rPr>
                <w:rFonts w:hint="eastAsia" w:ascii="宋体" w:hAnsi="宋体" w:cs="宋体"/>
              </w:rPr>
            </w:pPr>
            <w:r>
              <w:rPr>
                <w:rFonts w:hint="eastAsia" w:ascii="宋体" w:hAnsi="宋体" w:cs="宋体"/>
                <w:lang w:val="en-US" w:eastAsia="zh-CN"/>
              </w:rPr>
              <w:t>2、</w:t>
            </w:r>
            <w:r>
              <w:rPr>
                <w:rFonts w:hint="eastAsia" w:ascii="宋体" w:hAnsi="宋体" w:cs="宋体"/>
              </w:rPr>
              <w:t>中标服务费的货币为人民币，本项目按货物收费标准支付</w:t>
            </w:r>
            <w:r>
              <w:rPr>
                <w:rFonts w:hint="eastAsia" w:ascii="宋体" w:hAnsi="宋体" w:cs="宋体"/>
                <w:lang w:eastAsia="zh-CN"/>
              </w:rPr>
              <w:t>，本项目专家服务费由中标单位承担，具体金额按实际发生金额为准</w:t>
            </w:r>
            <w:r>
              <w:rPr>
                <w:rFonts w:hint="eastAsia" w:ascii="宋体" w:hAnsi="宋体" w:cs="宋体"/>
              </w:rPr>
              <w:t>。</w:t>
            </w:r>
          </w:p>
          <w:p>
            <w:pPr>
              <w:numPr>
                <w:ilvl w:val="0"/>
                <w:numId w:val="0"/>
              </w:numPr>
              <w:tabs>
                <w:tab w:val="left" w:pos="720"/>
              </w:tabs>
              <w:spacing w:line="360" w:lineRule="auto"/>
              <w:ind w:leftChars="0"/>
              <w:rPr>
                <w:rFonts w:hint="eastAsia" w:ascii="宋体" w:hAnsi="宋体"/>
                <w:b/>
                <w:bCs/>
                <w:szCs w:val="21"/>
              </w:rPr>
            </w:pPr>
            <w:r>
              <w:rPr>
                <w:rFonts w:hint="eastAsia" w:ascii="宋体" w:hAnsi="宋体" w:cs="宋体"/>
                <w:lang w:val="en-US" w:eastAsia="zh-CN"/>
              </w:rPr>
              <w:t>3、</w:t>
            </w:r>
            <w:r>
              <w:rPr>
                <w:rFonts w:hint="eastAsia" w:ascii="宋体" w:hAnsi="宋体" w:cs="宋体"/>
              </w:rPr>
              <w:t>中标服务费支付方式：一次性以银行划账形式支付。</w:t>
            </w:r>
            <w:r>
              <w:rPr>
                <w:rFonts w:hint="eastAsia" w:ascii="宋体" w:hAnsi="宋体" w:cs="宋体"/>
                <w:lang w:eastAsia="zh-CN"/>
              </w:rPr>
              <w:t>（开户行：平安银行</w:t>
            </w:r>
            <w:r>
              <w:rPr>
                <w:rFonts w:hint="eastAsia" w:ascii="宋体" w:hAnsi="宋体" w:cs="宋体"/>
                <w:lang w:val="en-US" w:eastAsia="zh-CN"/>
              </w:rPr>
              <w:t xml:space="preserve">  账号：621626 30000000 43008  账户名称：梁桂心</w:t>
            </w:r>
            <w:r>
              <w:rPr>
                <w:rFonts w:hint="eastAsia" w:ascii="宋体" w:hAnsi="宋体" w:cs="宋体"/>
                <w:lang w:eastAsia="zh-CN"/>
              </w:rPr>
              <w:t>）</w:t>
            </w:r>
          </w:p>
          <w:p>
            <w:pPr>
              <w:spacing w:line="360" w:lineRule="auto"/>
              <w:jc w:val="both"/>
              <w:rPr>
                <w:strike/>
                <w:color w:val="auto"/>
                <w:szCs w:val="21"/>
              </w:rPr>
            </w:pPr>
            <w:r>
              <w:rPr>
                <w:rFonts w:hint="eastAsia" w:ascii="宋体" w:hAnsi="宋体" w:cs="宋体"/>
                <w:lang w:val="en-US" w:eastAsia="zh-CN"/>
              </w:rPr>
              <w:t>4、</w:t>
            </w:r>
            <w:r>
              <w:rPr>
                <w:rFonts w:hint="eastAsia" w:ascii="宋体" w:hAnsi="宋体" w:cs="宋体"/>
              </w:rPr>
              <w:t>中标服务费支付时间：中标服务费必须在中标人领取《中标通知书》时一次性付清，如果中标人未能按时交纳中标服务费，招标代理机构/</w:t>
            </w:r>
            <w:bookmarkStart w:id="0" w:name="_Toc352145797"/>
            <w:r>
              <w:rPr>
                <w:rFonts w:hint="eastAsia" w:ascii="宋体" w:hAnsi="宋体" w:cs="宋体"/>
              </w:rPr>
              <w:t>招标人保留取消其中标资格并追究其法律责任的权利</w:t>
            </w:r>
            <w:bookmarkEnd w:id="0"/>
            <w:r>
              <w:rPr>
                <w:rFonts w:hint="eastAsia" w:ascii="宋体" w:hAnsi="宋体" w:cs="宋体"/>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1785"/>
                <w:tab w:val="left" w:pos="2310"/>
                <w:tab w:val="left" w:pos="8640"/>
              </w:tabs>
              <w:spacing w:line="360" w:lineRule="auto"/>
              <w:jc w:val="center"/>
              <w:rPr>
                <w:b/>
                <w:color w:val="auto"/>
              </w:rPr>
            </w:pPr>
            <w:r>
              <w:rPr>
                <w:rFonts w:hint="eastAsia"/>
                <w:b/>
                <w:color w:val="auto"/>
              </w:rPr>
              <w:t>二、 招标文件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6</w:t>
            </w:r>
          </w:p>
        </w:tc>
        <w:tc>
          <w:tcPr>
            <w:tcW w:w="829" w:type="dxa"/>
            <w:vMerge w:val="restart"/>
            <w:vAlign w:val="center"/>
          </w:tcPr>
          <w:p>
            <w:pPr>
              <w:spacing w:line="360" w:lineRule="auto"/>
              <w:jc w:val="center"/>
              <w:rPr>
                <w:b/>
                <w:color w:val="auto"/>
              </w:rPr>
            </w:pPr>
            <w:r>
              <w:rPr>
                <w:rFonts w:hint="eastAsia"/>
                <w:b/>
                <w:color w:val="auto"/>
              </w:rPr>
              <w:t>6.1</w:t>
            </w:r>
          </w:p>
        </w:tc>
        <w:tc>
          <w:tcPr>
            <w:tcW w:w="7617" w:type="dxa"/>
          </w:tcPr>
          <w:p>
            <w:pPr>
              <w:jc w:val="both"/>
              <w:rPr>
                <w:rFonts w:ascii="宋体"/>
                <w:color w:val="auto"/>
              </w:rPr>
            </w:pPr>
            <w:r>
              <w:rPr>
                <w:rFonts w:hint="eastAsia"/>
                <w:color w:val="auto"/>
              </w:rPr>
              <w:t>采购代理机构地址：</w:t>
            </w:r>
            <w:r>
              <w:rPr>
                <w:rFonts w:hint="eastAsia" w:ascii="宋体" w:hAnsi="宋体" w:cs="宋体"/>
                <w:szCs w:val="21"/>
              </w:rPr>
              <w:t>中山市五桂山镇岭东上筑花园1卡二楼</w:t>
            </w:r>
          </w:p>
          <w:p>
            <w:pPr>
              <w:jc w:val="both"/>
              <w:rPr>
                <w:color w:val="auto"/>
              </w:rPr>
            </w:pPr>
            <w:r>
              <w:rPr>
                <w:rFonts w:hint="eastAsia" w:ascii="宋体"/>
                <w:color w:val="auto"/>
              </w:rPr>
              <w:t xml:space="preserve"> </w:t>
            </w:r>
            <w:r>
              <w:rPr>
                <w:rFonts w:hint="eastAsia"/>
                <w:color w:val="auto"/>
              </w:rPr>
              <w:t>邮编：528400   电话：0760-</w:t>
            </w:r>
            <w:r>
              <w:rPr>
                <w:rFonts w:hint="eastAsia"/>
                <w:color w:val="auto"/>
                <w:lang w:val="en-US" w:eastAsia="zh-CN"/>
              </w:rPr>
              <w:t>88869878</w:t>
            </w:r>
            <w:r>
              <w:rPr>
                <w:rFonts w:hint="eastAsia"/>
                <w:color w:val="auto"/>
              </w:rPr>
              <w:t xml:space="preserve">  传真：0760-</w:t>
            </w:r>
            <w:r>
              <w:rPr>
                <w:rFonts w:hint="eastAsia"/>
                <w:color w:val="auto"/>
                <w:lang w:val="en-US" w:eastAsia="zh-CN"/>
              </w:rPr>
              <w:t>88869878</w:t>
            </w:r>
            <w:r>
              <w:rPr>
                <w:rFonts w:hint="eastAsia"/>
                <w:color w:val="auto"/>
              </w:rPr>
              <w:t xml:space="preserve">  </w:t>
            </w:r>
          </w:p>
          <w:p>
            <w:pPr>
              <w:jc w:val="both"/>
              <w:rPr>
                <w:rFonts w:ascii="宋体"/>
                <w:color w:val="auto"/>
              </w:rPr>
            </w:pPr>
            <w:r>
              <w:rPr>
                <w:rFonts w:hint="eastAsia"/>
                <w:color w:val="auto"/>
              </w:rPr>
              <w:t xml:space="preserve"> 联系人：</w:t>
            </w:r>
            <w:r>
              <w:rPr>
                <w:rFonts w:hint="eastAsia"/>
                <w:color w:val="auto"/>
                <w:lang w:eastAsia="zh-CN"/>
              </w:rPr>
              <w:t>许</w:t>
            </w:r>
            <w:r>
              <w:rPr>
                <w:rFonts w:hint="eastAsia"/>
                <w:color w:val="auto"/>
              </w:rPr>
              <w:t>小姐</w:t>
            </w:r>
            <w:r>
              <w:rPr>
                <w:rFonts w:hint="eastAsia"/>
                <w:color w:val="auto"/>
                <w:lang w:eastAsia="zh-CN"/>
              </w:rPr>
              <w:t>、黄</w:t>
            </w:r>
            <w:r>
              <w:rPr>
                <w:rFonts w:hint="eastAsia"/>
                <w:color w:val="auto"/>
              </w:rPr>
              <w:t>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r>
              <w:rPr>
                <w:rFonts w:hint="eastAsia"/>
                <w:b/>
                <w:color w:val="auto"/>
              </w:rPr>
              <w:t>7</w:t>
            </w:r>
          </w:p>
        </w:tc>
        <w:tc>
          <w:tcPr>
            <w:tcW w:w="829" w:type="dxa"/>
            <w:vMerge w:val="continue"/>
            <w:vAlign w:val="center"/>
          </w:tcPr>
          <w:p>
            <w:pPr>
              <w:spacing w:line="360" w:lineRule="auto"/>
              <w:jc w:val="center"/>
              <w:rPr>
                <w:b/>
                <w:color w:val="auto"/>
              </w:rPr>
            </w:pPr>
          </w:p>
        </w:tc>
        <w:tc>
          <w:tcPr>
            <w:tcW w:w="7617" w:type="dxa"/>
          </w:tcPr>
          <w:p>
            <w:pPr>
              <w:tabs>
                <w:tab w:val="left" w:pos="315"/>
                <w:tab w:val="left" w:pos="1785"/>
                <w:tab w:val="left" w:pos="2310"/>
                <w:tab w:val="left" w:pos="8640"/>
              </w:tabs>
              <w:rPr>
                <w:bCs/>
                <w:color w:val="auto"/>
              </w:rPr>
            </w:pPr>
            <w:r>
              <w:rPr>
                <w:rFonts w:hint="eastAsia"/>
                <w:bCs/>
                <w:color w:val="auto"/>
              </w:rPr>
              <w:t>投标答疑会时间：本项目不设答疑会。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1785"/>
                <w:tab w:val="left" w:pos="2310"/>
                <w:tab w:val="left" w:pos="8640"/>
              </w:tabs>
              <w:spacing w:line="360" w:lineRule="auto"/>
              <w:jc w:val="center"/>
              <w:rPr>
                <w:b/>
                <w:color w:val="auto"/>
              </w:rPr>
            </w:pPr>
            <w:r>
              <w:rPr>
                <w:rFonts w:hint="eastAsia"/>
                <w:b/>
                <w:color w:val="auto"/>
              </w:rPr>
              <w:t>三、 投标文件的编制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8</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12.1</w:t>
            </w:r>
          </w:p>
        </w:tc>
        <w:tc>
          <w:tcPr>
            <w:tcW w:w="7617" w:type="dxa"/>
            <w:vAlign w:val="center"/>
          </w:tcPr>
          <w:p>
            <w:pPr>
              <w:tabs>
                <w:tab w:val="left" w:pos="315"/>
                <w:tab w:val="left" w:pos="1785"/>
                <w:tab w:val="left" w:pos="2310"/>
                <w:tab w:val="left" w:pos="8640"/>
              </w:tabs>
              <w:spacing w:line="360" w:lineRule="auto"/>
              <w:jc w:val="both"/>
              <w:rPr>
                <w:color w:val="auto"/>
              </w:rPr>
            </w:pPr>
            <w:r>
              <w:rPr>
                <w:rFonts w:hint="eastAsia"/>
                <w:color w:val="auto"/>
              </w:rPr>
              <w:t>本次招标不允许投标人提交备选方案。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9</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13.1</w:t>
            </w:r>
          </w:p>
        </w:tc>
        <w:tc>
          <w:tcPr>
            <w:tcW w:w="7617" w:type="dxa"/>
          </w:tcPr>
          <w:p>
            <w:pPr>
              <w:jc w:val="both"/>
              <w:rPr>
                <w:color w:val="auto"/>
              </w:rPr>
            </w:pPr>
            <w:r>
              <w:rPr>
                <w:rFonts w:hint="eastAsia"/>
                <w:color w:val="auto"/>
              </w:rPr>
              <w:t>本次招标是否允许联合体参加投标：否。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10</w:t>
            </w:r>
          </w:p>
        </w:tc>
        <w:tc>
          <w:tcPr>
            <w:tcW w:w="829" w:type="dxa"/>
            <w:vMerge w:val="restart"/>
            <w:vAlign w:val="center"/>
          </w:tcPr>
          <w:p>
            <w:pPr>
              <w:tabs>
                <w:tab w:val="left" w:pos="315"/>
                <w:tab w:val="left" w:pos="1785"/>
                <w:tab w:val="left" w:pos="2310"/>
                <w:tab w:val="left" w:pos="8640"/>
              </w:tabs>
              <w:spacing w:line="360" w:lineRule="auto"/>
              <w:jc w:val="center"/>
              <w:rPr>
                <w:b/>
                <w:color w:val="auto"/>
              </w:rPr>
            </w:pPr>
            <w:r>
              <w:rPr>
                <w:rFonts w:hint="eastAsia"/>
                <w:b/>
                <w:color w:val="auto"/>
              </w:rPr>
              <w:t>14.1</w:t>
            </w:r>
          </w:p>
        </w:tc>
        <w:tc>
          <w:tcPr>
            <w:tcW w:w="7617" w:type="dxa"/>
          </w:tcPr>
          <w:p>
            <w:pPr>
              <w:ind w:left="420" w:hanging="420"/>
              <w:rPr>
                <w:color w:val="auto"/>
              </w:rPr>
            </w:pPr>
            <w:r>
              <w:rPr>
                <w:rFonts w:hint="eastAsia"/>
                <w:color w:val="auto"/>
              </w:rPr>
              <w:t>（3）根据本采购项目的特殊要求，投标人还须提供：</w:t>
            </w:r>
          </w:p>
          <w:p>
            <w:pPr>
              <w:tabs>
                <w:tab w:val="left" w:pos="315"/>
                <w:tab w:val="left" w:pos="1785"/>
                <w:tab w:val="left" w:pos="2310"/>
                <w:tab w:val="left" w:pos="8640"/>
              </w:tabs>
              <w:ind w:firstLine="105" w:firstLineChars="50"/>
              <w:rPr>
                <w:i/>
                <w:color w:val="auto"/>
              </w:rPr>
            </w:pPr>
            <w:r>
              <w:rPr>
                <w:rFonts w:hint="eastAsia"/>
                <w:color w:val="auto"/>
              </w:rPr>
              <w:t>如果国家行政或行业主管部门有要求的则需提供；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11</w:t>
            </w:r>
          </w:p>
        </w:tc>
        <w:tc>
          <w:tcPr>
            <w:tcW w:w="829" w:type="dxa"/>
            <w:vMerge w:val="continue"/>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1785"/>
                <w:tab w:val="left" w:pos="2310"/>
                <w:tab w:val="left" w:pos="8640"/>
              </w:tabs>
              <w:spacing w:line="360" w:lineRule="auto"/>
              <w:ind w:firstLine="12"/>
              <w:rPr>
                <w:color w:val="auto"/>
              </w:rPr>
            </w:pPr>
            <w:r>
              <w:rPr>
                <w:rFonts w:hint="eastAsia" w:ascii="宋体"/>
                <w:color w:val="auto"/>
              </w:rPr>
              <w:t>（5）投标人具有提供类似服务的</w:t>
            </w:r>
            <w:r>
              <w:rPr>
                <w:rFonts w:hint="eastAsia" w:ascii="宋体"/>
                <w:color w:val="auto"/>
                <w:u w:val="single"/>
              </w:rPr>
              <w:t>2013年至今</w:t>
            </w:r>
            <w:r>
              <w:rPr>
                <w:rFonts w:hint="eastAsia" w:ascii="宋体"/>
                <w:color w:val="auto"/>
              </w:rPr>
              <w:t>的经验与业绩；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p>
        </w:tc>
        <w:tc>
          <w:tcPr>
            <w:tcW w:w="829" w:type="dxa"/>
            <w:vMerge w:val="continue"/>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1785"/>
                <w:tab w:val="left" w:pos="2310"/>
                <w:tab w:val="left" w:pos="8640"/>
              </w:tabs>
              <w:spacing w:line="360" w:lineRule="auto"/>
              <w:ind w:firstLine="12"/>
              <w:rPr>
                <w:rFonts w:ascii="宋体"/>
                <w:color w:val="auto"/>
              </w:rPr>
            </w:pPr>
            <w:r>
              <w:rPr>
                <w:rFonts w:hint="eastAsia" w:ascii="宋体"/>
                <w:color w:val="auto"/>
              </w:rPr>
              <w:t>（6）投标人</w:t>
            </w:r>
            <w:r>
              <w:rPr>
                <w:rFonts w:hint="eastAsia"/>
                <w:color w:val="auto"/>
              </w:rPr>
              <w:t>应提供近</w:t>
            </w:r>
            <w:r>
              <w:rPr>
                <w:rFonts w:hint="eastAsia"/>
                <w:color w:val="auto"/>
                <w:u w:val="single"/>
              </w:rPr>
              <w:t>三</w:t>
            </w:r>
            <w:r>
              <w:rPr>
                <w:rFonts w:hint="eastAsia"/>
                <w:color w:val="auto"/>
              </w:rPr>
              <w:t>年（201</w:t>
            </w:r>
            <w:r>
              <w:rPr>
                <w:rFonts w:hint="eastAsia"/>
                <w:color w:val="auto"/>
                <w:lang w:val="en-US" w:eastAsia="zh-CN"/>
              </w:rPr>
              <w:t>4</w:t>
            </w:r>
            <w:r>
              <w:rPr>
                <w:rFonts w:hint="eastAsia"/>
                <w:color w:val="auto"/>
              </w:rPr>
              <w:t>年至201</w:t>
            </w:r>
            <w:r>
              <w:rPr>
                <w:rFonts w:hint="eastAsia"/>
                <w:color w:val="auto"/>
                <w:lang w:val="en-US" w:eastAsia="zh-CN"/>
              </w:rPr>
              <w:t>6</w:t>
            </w:r>
            <w:r>
              <w:rPr>
                <w:rFonts w:hint="eastAsia"/>
                <w:color w:val="auto"/>
              </w:rPr>
              <w:t>年）的审计报告及年度财务报表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12</w:t>
            </w:r>
          </w:p>
        </w:tc>
        <w:tc>
          <w:tcPr>
            <w:tcW w:w="829" w:type="dxa"/>
            <w:vMerge w:val="continue"/>
            <w:vAlign w:val="center"/>
          </w:tcPr>
          <w:p>
            <w:pPr>
              <w:tabs>
                <w:tab w:val="left" w:pos="315"/>
                <w:tab w:val="left" w:pos="1785"/>
                <w:tab w:val="left" w:pos="2310"/>
                <w:tab w:val="left" w:pos="8640"/>
              </w:tabs>
              <w:spacing w:line="360" w:lineRule="auto"/>
              <w:jc w:val="center"/>
              <w:rPr>
                <w:b/>
                <w:color w:val="auto"/>
              </w:rPr>
            </w:pPr>
          </w:p>
        </w:tc>
        <w:tc>
          <w:tcPr>
            <w:tcW w:w="7617" w:type="dxa"/>
          </w:tcPr>
          <w:p>
            <w:pPr>
              <w:snapToGrid w:val="0"/>
              <w:rPr>
                <w:color w:val="auto"/>
              </w:rPr>
            </w:pPr>
            <w:r>
              <w:rPr>
                <w:rFonts w:hint="eastAsia" w:ascii="宋体"/>
                <w:color w:val="auto"/>
              </w:rPr>
              <w:t>（7）</w:t>
            </w:r>
            <w:r>
              <w:rPr>
                <w:rFonts w:hint="eastAsia"/>
                <w:color w:val="auto"/>
              </w:rPr>
              <w:t>要求投标人提供证明其信誉、资格的、</w:t>
            </w:r>
            <w:r>
              <w:rPr>
                <w:rFonts w:hint="eastAsia" w:ascii="宋体"/>
                <w:color w:val="auto"/>
              </w:rPr>
              <w:t>经过年审合格的</w:t>
            </w:r>
            <w:r>
              <w:rPr>
                <w:rFonts w:hint="eastAsia"/>
                <w:color w:val="auto"/>
              </w:rPr>
              <w:t>文件复印件：</w:t>
            </w:r>
          </w:p>
          <w:p>
            <w:pPr>
              <w:numPr>
                <w:ilvl w:val="3"/>
                <w:numId w:val="7"/>
              </w:numPr>
              <w:tabs>
                <w:tab w:val="left" w:pos="315"/>
                <w:tab w:val="left" w:pos="901"/>
                <w:tab w:val="left" w:pos="8640"/>
              </w:tabs>
              <w:ind w:hanging="1799"/>
              <w:rPr>
                <w:rFonts w:ascii="宋体"/>
                <w:color w:val="auto"/>
              </w:rPr>
            </w:pPr>
            <w:r>
              <w:rPr>
                <w:rFonts w:hint="eastAsia" w:ascii="宋体"/>
                <w:color w:val="auto"/>
                <w:lang w:eastAsia="zh-CN"/>
              </w:rPr>
              <w:t>营业执照</w:t>
            </w:r>
            <w:r>
              <w:rPr>
                <w:rFonts w:hint="eastAsia" w:ascii="宋体"/>
                <w:color w:val="auto"/>
              </w:rPr>
              <w:t>；</w:t>
            </w:r>
          </w:p>
          <w:p>
            <w:pPr>
              <w:numPr>
                <w:ilvl w:val="3"/>
                <w:numId w:val="7"/>
              </w:numPr>
              <w:tabs>
                <w:tab w:val="left" w:pos="315"/>
                <w:tab w:val="left" w:pos="901"/>
                <w:tab w:val="left" w:pos="8640"/>
              </w:tabs>
              <w:ind w:hanging="1799"/>
              <w:rPr>
                <w:rFonts w:ascii="宋体"/>
                <w:color w:val="auto"/>
              </w:rPr>
            </w:pPr>
            <w:r>
              <w:rPr>
                <w:rFonts w:hint="eastAsia"/>
                <w:color w:val="auto"/>
                <w:szCs w:val="21"/>
              </w:rPr>
              <w:t>符合《投标邀请函》第五项“供应商资格条件”要求的相关证明文件。</w:t>
            </w:r>
          </w:p>
          <w:p>
            <w:pPr>
              <w:numPr>
                <w:ilvl w:val="3"/>
                <w:numId w:val="7"/>
              </w:numPr>
              <w:tabs>
                <w:tab w:val="left" w:pos="315"/>
                <w:tab w:val="left" w:pos="901"/>
                <w:tab w:val="left" w:pos="8640"/>
              </w:tabs>
              <w:ind w:hanging="1799"/>
              <w:rPr>
                <w:rFonts w:ascii="宋体"/>
                <w:color w:val="auto"/>
              </w:rPr>
            </w:pPr>
            <w:r>
              <w:rPr>
                <w:rFonts w:hint="eastAsia" w:ascii="宋体"/>
                <w:color w:val="auto"/>
              </w:rPr>
              <w:t>其它《用户需求书》需要的相关证明文件。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13</w:t>
            </w:r>
          </w:p>
        </w:tc>
        <w:tc>
          <w:tcPr>
            <w:tcW w:w="829" w:type="dxa"/>
            <w:vMerge w:val="continue"/>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2310"/>
                <w:tab w:val="left" w:pos="8640"/>
              </w:tabs>
              <w:ind w:left="420" w:hanging="420"/>
              <w:rPr>
                <w:rFonts w:ascii="BatangChe" w:hAnsi="BatangChe"/>
                <w:color w:val="auto"/>
              </w:rPr>
            </w:pPr>
            <w:r>
              <w:rPr>
                <w:rFonts w:hint="eastAsia" w:ascii="宋体" w:hAnsi="宋体"/>
                <w:color w:val="auto"/>
              </w:rPr>
              <w:t>（8）</w:t>
            </w:r>
            <w:r>
              <w:rPr>
                <w:rFonts w:hint="eastAsia"/>
                <w:color w:val="auto"/>
              </w:rPr>
              <w:t>本次招标是否允许投标人将项目分包：</w:t>
            </w:r>
            <w:r>
              <w:rPr>
                <w:rFonts w:hint="eastAsia" w:ascii="BatangChe" w:hAnsi="BatangChe"/>
                <w:color w:val="auto"/>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14</w:t>
            </w:r>
          </w:p>
        </w:tc>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15.2</w:t>
            </w:r>
          </w:p>
        </w:tc>
        <w:tc>
          <w:tcPr>
            <w:tcW w:w="7617" w:type="dxa"/>
            <w:vAlign w:val="center"/>
          </w:tcPr>
          <w:p>
            <w:pPr>
              <w:jc w:val="both"/>
              <w:rPr>
                <w:rFonts w:ascii="宋体"/>
                <w:color w:val="auto"/>
              </w:rPr>
            </w:pPr>
            <w:r>
              <w:rPr>
                <w:rFonts w:hint="eastAsia" w:ascii="宋体" w:hAnsi="宋体"/>
                <w:color w:val="auto"/>
                <w:szCs w:val="21"/>
              </w:rPr>
              <w:t>投标人须提供近三年内（即从201</w:t>
            </w:r>
            <w:r>
              <w:rPr>
                <w:rFonts w:hint="eastAsia" w:ascii="宋体" w:hAnsi="宋体"/>
                <w:color w:val="auto"/>
                <w:szCs w:val="21"/>
                <w:lang w:val="en-US" w:eastAsia="zh-CN"/>
              </w:rPr>
              <w:t>5</w:t>
            </w:r>
            <w:r>
              <w:rPr>
                <w:rFonts w:hint="eastAsia"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月至报名截止日前，投标人成立不足三年的可从成立之日起算）无行贿犯罪记录</w:t>
            </w:r>
            <w:r>
              <w:rPr>
                <w:rFonts w:hint="eastAsia"/>
                <w:color w:val="auto"/>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15</w:t>
            </w:r>
          </w:p>
        </w:tc>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16.3</w:t>
            </w:r>
          </w:p>
        </w:tc>
        <w:tc>
          <w:tcPr>
            <w:tcW w:w="7617" w:type="dxa"/>
            <w:vAlign w:val="center"/>
          </w:tcPr>
          <w:p>
            <w:pPr>
              <w:tabs>
                <w:tab w:val="left" w:pos="315"/>
                <w:tab w:val="left" w:pos="1785"/>
                <w:tab w:val="left" w:pos="2310"/>
                <w:tab w:val="left" w:pos="8640"/>
              </w:tabs>
              <w:jc w:val="both"/>
              <w:rPr>
                <w:bCs/>
                <w:color w:val="auto"/>
              </w:rPr>
            </w:pPr>
            <w:r>
              <w:rPr>
                <w:rFonts w:hint="eastAsia"/>
                <w:bCs/>
                <w:color w:val="auto"/>
              </w:rPr>
              <w:t>投标保证金金额：</w:t>
            </w:r>
            <w:r>
              <w:rPr>
                <w:rFonts w:hint="eastAsia"/>
                <w:color w:val="auto"/>
              </w:rPr>
              <w:t>详见《投标邀请函》。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16</w:t>
            </w:r>
          </w:p>
        </w:tc>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16.</w:t>
            </w:r>
            <w:r>
              <w:rPr>
                <w:rFonts w:hint="eastAsia" w:ascii="宋体"/>
                <w:b/>
                <w:color w:val="auto"/>
              </w:rPr>
              <w:t>4</w:t>
            </w:r>
          </w:p>
        </w:tc>
        <w:tc>
          <w:tcPr>
            <w:tcW w:w="7617" w:type="dxa"/>
          </w:tcPr>
          <w:p>
            <w:pPr>
              <w:snapToGrid w:val="0"/>
              <w:rPr>
                <w:rFonts w:hint="eastAsia" w:ascii="宋体" w:hAnsi="宋体" w:eastAsia="宋体" w:cs="宋体"/>
                <w:lang w:eastAsia="zh-CN"/>
              </w:rPr>
            </w:pPr>
            <w:r>
              <w:rPr>
                <w:rFonts w:ascii="宋体" w:hAnsi="宋体"/>
                <w:color w:val="auto"/>
                <w:szCs w:val="21"/>
              </w:rPr>
              <w:t>★</w:t>
            </w:r>
            <w:r>
              <w:rPr>
                <w:rFonts w:hint="eastAsia" w:ascii="宋体" w:hAnsi="宋体" w:cs="宋体"/>
              </w:rPr>
              <w:t>本项目的投标保证金为￥</w:t>
            </w:r>
            <w:r>
              <w:rPr>
                <w:rFonts w:hint="eastAsia" w:ascii="宋体" w:hAnsi="宋体" w:cs="宋体"/>
                <w:lang w:val="en-US" w:eastAsia="zh-CN"/>
              </w:rPr>
              <w:t>5</w:t>
            </w:r>
            <w:r>
              <w:rPr>
                <w:rFonts w:hint="eastAsia" w:ascii="宋体" w:hAnsi="宋体" w:cs="宋体"/>
              </w:rPr>
              <w:t>,000.00元（大写：人民币</w:t>
            </w:r>
            <w:r>
              <w:rPr>
                <w:rFonts w:hint="eastAsia" w:ascii="宋体" w:hAnsi="宋体" w:cs="宋体"/>
                <w:lang w:eastAsia="zh-CN"/>
              </w:rPr>
              <w:t>伍仟</w:t>
            </w:r>
            <w:r>
              <w:rPr>
                <w:rFonts w:hint="eastAsia" w:ascii="宋体" w:hAnsi="宋体" w:cs="宋体"/>
              </w:rPr>
              <w:t>元整），保证金须在</w:t>
            </w:r>
            <w:r>
              <w:rPr>
                <w:rFonts w:hint="eastAsia" w:ascii="宋体" w:hAnsi="宋体" w:cs="宋体"/>
                <w:b/>
                <w:u w:val="single"/>
              </w:rPr>
              <w:t>2018年</w:t>
            </w:r>
            <w:r>
              <w:rPr>
                <w:rFonts w:hint="eastAsia" w:ascii="宋体" w:hAnsi="宋体" w:cs="宋体"/>
                <w:b/>
                <w:u w:val="single"/>
                <w:lang w:val="en-US" w:eastAsia="zh-CN"/>
              </w:rPr>
              <w:t>6</w:t>
            </w:r>
            <w:r>
              <w:rPr>
                <w:rFonts w:hint="eastAsia" w:ascii="宋体" w:hAnsi="宋体" w:cs="宋体"/>
                <w:b/>
                <w:u w:val="single"/>
              </w:rPr>
              <w:t>月</w:t>
            </w:r>
            <w:r>
              <w:rPr>
                <w:rFonts w:hint="eastAsia" w:ascii="宋体" w:hAnsi="宋体" w:cs="宋体"/>
                <w:b/>
                <w:u w:val="single"/>
                <w:lang w:val="en-US" w:eastAsia="zh-CN"/>
              </w:rPr>
              <w:t>27</w:t>
            </w:r>
            <w:r>
              <w:rPr>
                <w:rFonts w:hint="eastAsia" w:ascii="宋体" w:hAnsi="宋体" w:cs="宋体"/>
                <w:b/>
                <w:u w:val="single"/>
              </w:rPr>
              <w:t>日</w:t>
            </w:r>
            <w:r>
              <w:rPr>
                <w:rFonts w:hint="eastAsia" w:ascii="宋体" w:hAnsi="宋体" w:cs="宋体"/>
              </w:rPr>
              <w:t>下午5:30前到达以下账号</w:t>
            </w:r>
            <w:r>
              <w:rPr>
                <w:rFonts w:hint="eastAsia" w:ascii="宋体" w:hAnsi="宋体" w:cs="宋体"/>
                <w:lang w:eastAsia="zh-CN"/>
              </w:rPr>
              <w:t>：</w:t>
            </w:r>
          </w:p>
          <w:p>
            <w:pPr>
              <w:snapToGrid w:val="0"/>
              <w:rPr>
                <w:bCs/>
                <w:color w:val="auto"/>
              </w:rPr>
            </w:pPr>
            <w:r>
              <w:rPr>
                <w:rFonts w:hint="eastAsia" w:ascii="宋体" w:hAnsi="宋体" w:cs="宋体"/>
              </w:rPr>
              <w:t>（保证金接收帐号：中国农业银行股份有限公司中山城区支行，4431 0601 0400 0771 8，广东华联建设投资管理股份有限公司中山分公司）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17</w:t>
            </w:r>
          </w:p>
        </w:tc>
        <w:tc>
          <w:tcPr>
            <w:tcW w:w="829" w:type="dxa"/>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17.2</w:t>
            </w:r>
          </w:p>
        </w:tc>
        <w:tc>
          <w:tcPr>
            <w:tcW w:w="7617" w:type="dxa"/>
            <w:tcBorders>
              <w:bottom w:val="single" w:color="auto" w:sz="4" w:space="0"/>
            </w:tcBorders>
          </w:tcPr>
          <w:p>
            <w:pPr>
              <w:tabs>
                <w:tab w:val="left" w:pos="315"/>
                <w:tab w:val="left" w:pos="1785"/>
                <w:tab w:val="left" w:pos="2310"/>
                <w:tab w:val="left" w:pos="8640"/>
              </w:tabs>
              <w:rPr>
                <w:color w:val="auto"/>
              </w:rPr>
            </w:pPr>
            <w:r>
              <w:rPr>
                <w:rFonts w:hint="eastAsia"/>
                <w:color w:val="auto"/>
              </w:rPr>
              <w:t xml:space="preserve">投标文件应在投标截止日后 120 天内有效。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tcBorders>
              <w:bottom w:val="single" w:color="auto" w:sz="4" w:space="0"/>
            </w:tcBorders>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18</w:t>
            </w:r>
          </w:p>
        </w:tc>
        <w:tc>
          <w:tcPr>
            <w:tcW w:w="829" w:type="dxa"/>
            <w:tcBorders>
              <w:bottom w:val="single" w:color="auto" w:sz="4" w:space="0"/>
            </w:tcBorders>
            <w:vAlign w:val="center"/>
          </w:tcPr>
          <w:p>
            <w:pPr>
              <w:tabs>
                <w:tab w:val="left" w:pos="315"/>
                <w:tab w:val="left" w:pos="1785"/>
                <w:tab w:val="left" w:pos="2310"/>
                <w:tab w:val="left" w:pos="8640"/>
              </w:tabs>
              <w:spacing w:line="360" w:lineRule="auto"/>
              <w:ind w:right="-48"/>
              <w:jc w:val="center"/>
              <w:rPr>
                <w:b/>
                <w:color w:val="auto"/>
              </w:rPr>
            </w:pPr>
            <w:r>
              <w:rPr>
                <w:rFonts w:hint="eastAsia"/>
                <w:b/>
                <w:color w:val="auto"/>
              </w:rPr>
              <w:t>18.1</w:t>
            </w:r>
          </w:p>
        </w:tc>
        <w:tc>
          <w:tcPr>
            <w:tcW w:w="7617" w:type="dxa"/>
            <w:tcBorders>
              <w:top w:val="single" w:color="auto" w:sz="4" w:space="0"/>
            </w:tcBorders>
            <w:vAlign w:val="center"/>
          </w:tcPr>
          <w:p>
            <w:pPr>
              <w:tabs>
                <w:tab w:val="left" w:pos="315"/>
                <w:tab w:val="left" w:pos="1785"/>
                <w:tab w:val="left" w:pos="2310"/>
                <w:tab w:val="left" w:pos="8640"/>
              </w:tabs>
              <w:rPr>
                <w:color w:val="auto"/>
              </w:rPr>
            </w:pPr>
            <w:r>
              <w:rPr>
                <w:rFonts w:hint="eastAsia"/>
                <w:color w:val="auto"/>
              </w:rPr>
              <w:t>投标文件正本一份，副本</w:t>
            </w:r>
            <w:r>
              <w:rPr>
                <w:rFonts w:hint="eastAsia"/>
                <w:color w:val="auto"/>
                <w:u w:val="single"/>
              </w:rPr>
              <w:t>四</w:t>
            </w:r>
            <w:r>
              <w:rPr>
                <w:rFonts w:hint="eastAsia"/>
                <w:color w:val="auto"/>
              </w:rPr>
              <w:t>份，</w:t>
            </w:r>
            <w:r>
              <w:rPr>
                <w:rFonts w:hAnsi="宋体"/>
                <w:color w:val="auto"/>
              </w:rPr>
              <w:t>及一份电子文件（电子文件的内容可以只包括投标报价表和技术响应文件）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tcBorders>
              <w:top w:val="single" w:color="auto" w:sz="4" w:space="0"/>
            </w:tcBorders>
            <w:vAlign w:val="center"/>
          </w:tcPr>
          <w:p>
            <w:pPr>
              <w:tabs>
                <w:tab w:val="left" w:pos="315"/>
                <w:tab w:val="left" w:pos="1785"/>
                <w:tab w:val="left" w:pos="2310"/>
                <w:tab w:val="left" w:pos="8640"/>
              </w:tabs>
              <w:spacing w:line="360" w:lineRule="auto"/>
              <w:jc w:val="center"/>
              <w:rPr>
                <w:b/>
                <w:color w:val="auto"/>
              </w:rPr>
            </w:pPr>
          </w:p>
        </w:tc>
        <w:tc>
          <w:tcPr>
            <w:tcW w:w="829" w:type="dxa"/>
            <w:tcBorders>
              <w:top w:val="single" w:color="auto" w:sz="4" w:space="0"/>
            </w:tcBorders>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1785"/>
                <w:tab w:val="left" w:pos="2310"/>
                <w:tab w:val="left" w:pos="8640"/>
              </w:tabs>
              <w:spacing w:line="360" w:lineRule="auto"/>
              <w:jc w:val="center"/>
              <w:rPr>
                <w:b/>
                <w:color w:val="auto"/>
              </w:rPr>
            </w:pPr>
            <w:r>
              <w:rPr>
                <w:rFonts w:hint="eastAsia"/>
                <w:b/>
                <w:color w:val="auto"/>
              </w:rPr>
              <w:t>四、 投标文件的递交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19</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17</w:t>
            </w:r>
            <w:r>
              <w:rPr>
                <w:b/>
                <w:color w:val="auto"/>
              </w:rPr>
              <w:t>.</w:t>
            </w:r>
            <w:r>
              <w:rPr>
                <w:rFonts w:hint="eastAsia"/>
                <w:b/>
                <w:color w:val="auto"/>
              </w:rPr>
              <w:t>1</w:t>
            </w:r>
          </w:p>
          <w:p>
            <w:pPr>
              <w:tabs>
                <w:tab w:val="left" w:pos="315"/>
                <w:tab w:val="left" w:pos="1785"/>
                <w:tab w:val="left" w:pos="2310"/>
                <w:tab w:val="left" w:pos="8640"/>
              </w:tabs>
              <w:spacing w:line="360" w:lineRule="auto"/>
              <w:jc w:val="center"/>
              <w:rPr>
                <w:b/>
                <w:color w:val="auto"/>
              </w:rPr>
            </w:pPr>
            <w:r>
              <w:rPr>
                <w:rFonts w:hint="eastAsia"/>
                <w:b/>
                <w:color w:val="auto"/>
              </w:rPr>
              <w:t>20.1</w:t>
            </w:r>
          </w:p>
        </w:tc>
        <w:tc>
          <w:tcPr>
            <w:tcW w:w="7617" w:type="dxa"/>
          </w:tcPr>
          <w:p>
            <w:pPr>
              <w:tabs>
                <w:tab w:val="left" w:pos="315"/>
                <w:tab w:val="left" w:pos="1785"/>
                <w:tab w:val="left" w:pos="2310"/>
                <w:tab w:val="left" w:pos="8640"/>
              </w:tabs>
              <w:rPr>
                <w:color w:val="auto"/>
              </w:rPr>
            </w:pPr>
            <w:r>
              <w:rPr>
                <w:rFonts w:hint="eastAsia"/>
                <w:color w:val="auto"/>
              </w:rPr>
              <w:t>投标文件递交时间：详见《投标邀请函》；</w:t>
            </w:r>
          </w:p>
          <w:p>
            <w:pPr>
              <w:tabs>
                <w:tab w:val="left" w:pos="315"/>
                <w:tab w:val="left" w:pos="1785"/>
                <w:tab w:val="left" w:pos="2310"/>
                <w:tab w:val="left" w:pos="8640"/>
              </w:tabs>
              <w:rPr>
                <w:color w:val="auto"/>
              </w:rPr>
            </w:pPr>
            <w:r>
              <w:rPr>
                <w:rFonts w:hint="eastAsia"/>
                <w:color w:val="auto"/>
              </w:rPr>
              <w:t>投标截止时间：详见《投标邀请函》；</w:t>
            </w:r>
          </w:p>
          <w:p>
            <w:pPr>
              <w:tabs>
                <w:tab w:val="left" w:pos="315"/>
                <w:tab w:val="left" w:pos="1785"/>
                <w:tab w:val="left" w:pos="2310"/>
                <w:tab w:val="left" w:pos="8640"/>
              </w:tabs>
              <w:rPr>
                <w:i/>
                <w:color w:val="auto"/>
              </w:rPr>
            </w:pPr>
            <w:r>
              <w:rPr>
                <w:rFonts w:hint="eastAsia"/>
                <w:color w:val="auto"/>
              </w:rPr>
              <w:t>投标文件送达地点为：</w:t>
            </w:r>
            <w:r>
              <w:rPr>
                <w:rFonts w:hint="eastAsia" w:ascii="宋体" w:hAnsi="宋体" w:cs="宋体"/>
              </w:rPr>
              <w:t>中山市五桂山岭东上筑花园商铺1卡2层广东华联建设投资管理股份有限公司中山分公司开标室。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8" w:hRule="atLeast"/>
        </w:trPr>
        <w:tc>
          <w:tcPr>
            <w:tcW w:w="829" w:type="dxa"/>
            <w:vAlign w:val="center"/>
          </w:tcPr>
          <w:p>
            <w:pPr>
              <w:tabs>
                <w:tab w:val="left" w:pos="315"/>
                <w:tab w:val="left" w:pos="1785"/>
                <w:tab w:val="left" w:pos="2310"/>
                <w:tab w:val="left" w:pos="8640"/>
              </w:tabs>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315"/>
                <w:tab w:val="left" w:pos="1785"/>
                <w:tab w:val="left" w:pos="2310"/>
                <w:tab w:val="left" w:pos="8640"/>
              </w:tabs>
              <w:spacing w:line="360" w:lineRule="auto"/>
              <w:jc w:val="center"/>
              <w:rPr>
                <w:b/>
                <w:color w:val="auto"/>
              </w:rPr>
            </w:pPr>
            <w:r>
              <w:rPr>
                <w:rFonts w:hint="eastAsia"/>
                <w:b/>
                <w:color w:val="auto"/>
              </w:rPr>
              <w:t>五、开标、评标和定标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20</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19.2</w:t>
            </w:r>
          </w:p>
        </w:tc>
        <w:tc>
          <w:tcPr>
            <w:tcW w:w="7617" w:type="dxa"/>
          </w:tcPr>
          <w:p>
            <w:pPr>
              <w:tabs>
                <w:tab w:val="left" w:pos="315"/>
                <w:tab w:val="left" w:pos="1785"/>
                <w:tab w:val="left" w:pos="2310"/>
                <w:tab w:val="left" w:pos="8640"/>
              </w:tabs>
              <w:rPr>
                <w:color w:val="auto"/>
              </w:rPr>
            </w:pPr>
            <w:r>
              <w:rPr>
                <w:rFonts w:hint="eastAsia"/>
                <w:color w:val="auto"/>
              </w:rPr>
              <w:t>开标时间：详见《投标邀请函》。</w:t>
            </w:r>
          </w:p>
          <w:p>
            <w:pPr>
              <w:tabs>
                <w:tab w:val="left" w:pos="315"/>
                <w:tab w:val="left" w:pos="1785"/>
                <w:tab w:val="left" w:pos="2310"/>
                <w:tab w:val="left" w:pos="8640"/>
              </w:tabs>
              <w:rPr>
                <w:i/>
                <w:color w:val="auto"/>
              </w:rPr>
            </w:pPr>
            <w:r>
              <w:rPr>
                <w:rFonts w:hint="eastAsia"/>
                <w:color w:val="auto"/>
              </w:rPr>
              <w:t>开标地点：</w:t>
            </w:r>
            <w:r>
              <w:rPr>
                <w:rFonts w:hint="eastAsia" w:ascii="宋体" w:hAnsi="宋体" w:cs="宋体"/>
              </w:rPr>
              <w:t>中山市五桂山岭东上筑花园商铺1卡2层广东华联建设投资管理股份有限公司中山分公司开标室。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21</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22.3</w:t>
            </w:r>
          </w:p>
        </w:tc>
        <w:tc>
          <w:tcPr>
            <w:tcW w:w="7617" w:type="dxa"/>
          </w:tcPr>
          <w:p>
            <w:pPr>
              <w:tabs>
                <w:tab w:val="left" w:pos="315"/>
                <w:tab w:val="left" w:pos="1785"/>
                <w:tab w:val="left" w:pos="2310"/>
                <w:tab w:val="left" w:pos="8640"/>
              </w:tabs>
              <w:spacing w:line="360" w:lineRule="auto"/>
              <w:rPr>
                <w:color w:val="auto"/>
              </w:rPr>
            </w:pPr>
            <w:r>
              <w:rPr>
                <w:rFonts w:hint="eastAsia"/>
                <w:color w:val="auto"/>
              </w:rPr>
              <w:t>采用</w:t>
            </w:r>
            <w:r>
              <w:rPr>
                <w:rFonts w:hint="eastAsia"/>
                <w:color w:val="auto"/>
                <w:u w:val="single"/>
              </w:rPr>
              <w:t>综合评分</w:t>
            </w:r>
            <w:r>
              <w:rPr>
                <w:rFonts w:hint="eastAsia"/>
                <w:color w:val="auto"/>
              </w:rPr>
              <w:t>法，详见第四部分《评标方法》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4" w:hRule="atLeast"/>
        </w:trPr>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22</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26.6</w:t>
            </w:r>
          </w:p>
        </w:tc>
        <w:tc>
          <w:tcPr>
            <w:tcW w:w="7617" w:type="dxa"/>
          </w:tcPr>
          <w:p>
            <w:pPr>
              <w:tabs>
                <w:tab w:val="left" w:pos="315"/>
                <w:tab w:val="left" w:pos="1785"/>
                <w:tab w:val="left" w:pos="2310"/>
                <w:tab w:val="left" w:pos="8640"/>
              </w:tabs>
              <w:ind w:firstLine="14"/>
              <w:rPr>
                <w:color w:val="auto"/>
              </w:rPr>
            </w:pPr>
            <w:r>
              <w:rPr>
                <w:rFonts w:hint="eastAsia"/>
                <w:color w:val="auto"/>
              </w:rPr>
              <w:t>招标结果公告媒体：</w:t>
            </w:r>
          </w:p>
          <w:p>
            <w:pPr>
              <w:tabs>
                <w:tab w:val="left" w:pos="315"/>
                <w:tab w:val="left" w:pos="1785"/>
                <w:tab w:val="left" w:pos="2310"/>
                <w:tab w:val="left" w:pos="8640"/>
              </w:tabs>
              <w:ind w:firstLine="14"/>
              <w:rPr>
                <w:rFonts w:hint="eastAsia" w:eastAsia="宋体"/>
                <w:i/>
                <w:color w:val="auto"/>
                <w:lang w:eastAsia="zh-CN"/>
              </w:rPr>
            </w:pPr>
            <w:r>
              <w:rPr>
                <w:rFonts w:hint="eastAsia"/>
                <w:color w:val="auto"/>
              </w:rPr>
              <w:sym w:font="Times New Roman" w:char="0000"/>
            </w:r>
            <w:r>
              <w:rPr>
                <w:rFonts w:hint="eastAsia" w:ascii="宋体" w:hAnsi="宋体" w:cs="宋体"/>
              </w:rPr>
              <w:t>广东华联建设投资管理股份有限公司</w:t>
            </w:r>
            <w:r>
              <w:rPr>
                <w:rFonts w:hint="eastAsia" w:ascii="宋体" w:hAnsi="宋体" w:cs="宋体"/>
                <w:lang w:eastAsia="zh-CN"/>
              </w:rPr>
              <w:t>网、中国采购与招标网。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7617" w:type="dxa"/>
          </w:tcPr>
          <w:p>
            <w:pPr>
              <w:tabs>
                <w:tab w:val="left" w:pos="0"/>
              </w:tabs>
              <w:ind w:left="-2" w:leftChars="-1"/>
              <w:jc w:val="center"/>
              <w:rPr>
                <w:rFonts w:ascii="宋体"/>
                <w:color w:val="auto"/>
              </w:rPr>
            </w:pPr>
            <w:r>
              <w:rPr>
                <w:rFonts w:hint="eastAsia"/>
                <w:b/>
                <w:color w:val="auto"/>
                <w:lang w:eastAsia="zh-CN"/>
              </w:rPr>
              <w:t>六</w:t>
            </w:r>
            <w:r>
              <w:rPr>
                <w:rFonts w:hint="eastAsia"/>
                <w:b/>
                <w:color w:val="auto"/>
              </w:rPr>
              <w:t>、</w:t>
            </w:r>
            <w:r>
              <w:rPr>
                <w:rFonts w:hint="eastAsia"/>
                <w:b/>
                <w:color w:val="auto"/>
                <w:szCs w:val="24"/>
              </w:rPr>
              <w:t>合同的订立和履行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29" w:type="dxa"/>
            <w:vAlign w:val="center"/>
          </w:tcPr>
          <w:p>
            <w:pPr>
              <w:tabs>
                <w:tab w:val="left" w:pos="315"/>
                <w:tab w:val="left" w:pos="1785"/>
                <w:tab w:val="left" w:pos="2310"/>
                <w:tab w:val="left" w:pos="8640"/>
              </w:tabs>
              <w:spacing w:line="360" w:lineRule="auto"/>
              <w:jc w:val="center"/>
              <w:rPr>
                <w:rFonts w:hint="eastAsia" w:eastAsia="宋体"/>
                <w:b/>
                <w:color w:val="auto"/>
                <w:lang w:eastAsia="zh-CN"/>
              </w:rPr>
            </w:pPr>
            <w:r>
              <w:rPr>
                <w:rFonts w:hint="eastAsia"/>
                <w:b/>
                <w:color w:val="auto"/>
              </w:rPr>
              <w:t>2</w:t>
            </w:r>
            <w:r>
              <w:rPr>
                <w:rFonts w:hint="eastAsia"/>
                <w:b/>
                <w:color w:val="auto"/>
                <w:lang w:val="en-US" w:eastAsia="zh-CN"/>
              </w:rPr>
              <w:t>3</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30.3</w:t>
            </w:r>
          </w:p>
        </w:tc>
        <w:tc>
          <w:tcPr>
            <w:tcW w:w="7617" w:type="dxa"/>
          </w:tcPr>
          <w:p>
            <w:pPr>
              <w:tabs>
                <w:tab w:val="left" w:pos="315"/>
                <w:tab w:val="left" w:pos="1785"/>
                <w:tab w:val="left" w:pos="2310"/>
                <w:tab w:val="left" w:pos="8640"/>
              </w:tabs>
              <w:rPr>
                <w:color w:val="auto"/>
              </w:rPr>
            </w:pPr>
            <w:r>
              <w:rPr>
                <w:rFonts w:hint="eastAsia"/>
                <w:color w:val="auto"/>
              </w:rPr>
              <w:t>本次招标项目每个包应提供</w:t>
            </w:r>
            <w:r>
              <w:rPr>
                <w:rFonts w:hint="eastAsia"/>
                <w:color w:val="auto"/>
                <w:u w:val="single"/>
              </w:rPr>
              <w:t>0.5</w:t>
            </w:r>
            <w:r>
              <w:rPr>
                <w:rFonts w:hint="eastAsia"/>
                <w:color w:val="auto"/>
              </w:rPr>
              <w:t>万元的履约保证金或银行履约保函。</w:t>
            </w:r>
          </w:p>
        </w:tc>
      </w:tr>
    </w:tbl>
    <w:p>
      <w:pPr>
        <w:spacing w:before="120"/>
        <w:ind w:firstLine="540"/>
        <w:rPr>
          <w:b/>
          <w:color w:val="auto"/>
          <w:szCs w:val="24"/>
        </w:rPr>
      </w:pPr>
      <w:r>
        <w:rPr>
          <w:b/>
          <w:color w:val="auto"/>
          <w:szCs w:val="24"/>
        </w:rPr>
        <w:br w:type="page"/>
      </w:r>
      <w:r>
        <w:rPr>
          <w:rFonts w:hint="eastAsia"/>
          <w:b/>
          <w:color w:val="auto"/>
          <w:szCs w:val="24"/>
        </w:rPr>
        <w:t>一、说  明</w:t>
      </w:r>
    </w:p>
    <w:p>
      <w:pPr>
        <w:pStyle w:val="25"/>
        <w:adjustRightInd w:val="0"/>
        <w:snapToGrid w:val="0"/>
        <w:spacing w:line="360" w:lineRule="auto"/>
        <w:rPr>
          <w:rFonts w:hAnsi="宋体"/>
          <w:color w:val="auto"/>
          <w:szCs w:val="24"/>
        </w:rPr>
      </w:pPr>
      <w:r>
        <w:rPr>
          <w:rFonts w:hint="eastAsia" w:hAnsi="宋体"/>
          <w:color w:val="auto"/>
          <w:szCs w:val="24"/>
        </w:rPr>
        <w:t>1．适用范围</w:t>
      </w:r>
      <w:r>
        <w:rPr>
          <w:rFonts w:hAnsi="宋体"/>
          <w:color w:val="auto"/>
        </w:rPr>
        <w:t>项目综合说明</w:t>
      </w:r>
    </w:p>
    <w:p>
      <w:pPr>
        <w:pStyle w:val="25"/>
        <w:adjustRightInd w:val="0"/>
        <w:snapToGrid w:val="0"/>
        <w:spacing w:line="360" w:lineRule="auto"/>
        <w:rPr>
          <w:rFonts w:hAnsi="宋体"/>
          <w:color w:val="auto"/>
          <w:szCs w:val="24"/>
        </w:rPr>
      </w:pPr>
      <w:r>
        <w:rPr>
          <w:rFonts w:hint="eastAsia" w:hAnsi="宋体"/>
          <w:color w:val="auto"/>
          <w:szCs w:val="24"/>
        </w:rPr>
        <w:t>1.1本招标文件适用于本投标邀请中所述项目的政府采购。</w:t>
      </w:r>
      <w:r>
        <w:rPr>
          <w:rFonts w:hAnsi="宋体"/>
          <w:color w:val="auto"/>
        </w:rPr>
        <w:t>项目综合说明</w:t>
      </w:r>
      <w:r>
        <w:rPr>
          <w:rFonts w:hint="eastAsia" w:hAnsi="宋体"/>
          <w:color w:val="auto"/>
        </w:rPr>
        <w:t>见</w:t>
      </w:r>
      <w:r>
        <w:rPr>
          <w:rFonts w:hint="eastAsia" w:hAnsi="宋体"/>
          <w:color w:val="auto"/>
          <w:szCs w:val="24"/>
        </w:rPr>
        <w:t>《投标须知前附表》。</w:t>
      </w:r>
    </w:p>
    <w:p>
      <w:pPr>
        <w:pStyle w:val="25"/>
        <w:adjustRightInd w:val="0"/>
        <w:snapToGrid w:val="0"/>
        <w:spacing w:line="360" w:lineRule="auto"/>
        <w:rPr>
          <w:rFonts w:hAnsi="宋体"/>
          <w:color w:val="auto"/>
          <w:szCs w:val="24"/>
        </w:rPr>
      </w:pPr>
      <w:r>
        <w:rPr>
          <w:rFonts w:hint="eastAsia" w:hAnsi="宋体"/>
          <w:color w:val="auto"/>
          <w:szCs w:val="24"/>
        </w:rPr>
        <w:t>2. 定义</w:t>
      </w:r>
    </w:p>
    <w:p>
      <w:pPr>
        <w:pStyle w:val="25"/>
        <w:adjustRightInd w:val="0"/>
        <w:snapToGrid w:val="0"/>
        <w:spacing w:line="360" w:lineRule="auto"/>
        <w:ind w:left="420" w:hanging="420" w:hangingChars="200"/>
        <w:rPr>
          <w:rFonts w:hAnsi="宋体"/>
          <w:color w:val="auto"/>
          <w:szCs w:val="24"/>
        </w:rPr>
      </w:pPr>
      <w:r>
        <w:rPr>
          <w:rFonts w:hint="eastAsia" w:hAnsi="宋体"/>
          <w:color w:val="auto"/>
          <w:szCs w:val="24"/>
        </w:rPr>
        <w:t>2.1“采购人”是指：</w:t>
      </w:r>
      <w:r>
        <w:rPr>
          <w:rFonts w:hint="eastAsia" w:hAnsi="宋体" w:cs="宋体"/>
          <w:color w:val="auto"/>
          <w:kern w:val="28"/>
          <w:u w:val="single"/>
        </w:rPr>
        <w:t>中华人民共和国中山海关</w:t>
      </w:r>
      <w:r>
        <w:rPr>
          <w:rFonts w:hint="eastAsia" w:hAnsi="宋体"/>
          <w:color w:val="auto"/>
          <w:szCs w:val="24"/>
        </w:rPr>
        <w:t>。</w:t>
      </w:r>
    </w:p>
    <w:p>
      <w:pPr>
        <w:pStyle w:val="25"/>
        <w:adjustRightInd w:val="0"/>
        <w:snapToGrid w:val="0"/>
        <w:spacing w:line="360" w:lineRule="auto"/>
        <w:rPr>
          <w:rFonts w:hAnsi="宋体"/>
          <w:color w:val="auto"/>
          <w:szCs w:val="24"/>
        </w:rPr>
      </w:pPr>
      <w:r>
        <w:rPr>
          <w:rFonts w:hint="eastAsia" w:hAnsi="宋体"/>
          <w:color w:val="auto"/>
          <w:szCs w:val="24"/>
        </w:rPr>
        <w:t>2.3“政府采购代理机构”是指：</w:t>
      </w:r>
      <w:r>
        <w:rPr>
          <w:rFonts w:hint="eastAsia" w:hAnsi="宋体"/>
          <w:color w:val="auto"/>
          <w:szCs w:val="24"/>
          <w:u w:val="single"/>
          <w:lang w:eastAsia="zh-CN"/>
        </w:rPr>
        <w:t>广东华联建设投资管理股份有限公司中山分公司</w:t>
      </w:r>
      <w:r>
        <w:rPr>
          <w:rFonts w:hint="eastAsia" w:hAnsi="宋体"/>
          <w:color w:val="auto"/>
          <w:szCs w:val="24"/>
          <w:u w:val="single"/>
        </w:rPr>
        <w:t xml:space="preserve"> </w:t>
      </w:r>
      <w:r>
        <w:rPr>
          <w:rFonts w:hint="eastAsia" w:hAnsi="宋体"/>
          <w:color w:val="auto"/>
          <w:szCs w:val="24"/>
        </w:rPr>
        <w:t>。</w:t>
      </w:r>
    </w:p>
    <w:p>
      <w:pPr>
        <w:pStyle w:val="25"/>
        <w:adjustRightInd w:val="0"/>
        <w:snapToGrid w:val="0"/>
        <w:spacing w:line="360" w:lineRule="auto"/>
        <w:rPr>
          <w:rFonts w:hAnsi="宋体"/>
          <w:color w:val="auto"/>
          <w:szCs w:val="24"/>
        </w:rPr>
      </w:pPr>
      <w:r>
        <w:rPr>
          <w:rFonts w:hint="eastAsia" w:hAnsi="宋体"/>
          <w:color w:val="auto"/>
          <w:szCs w:val="24"/>
        </w:rPr>
        <w:t>2.4 供应商资格</w:t>
      </w:r>
      <w:r>
        <w:rPr>
          <w:rFonts w:hint="eastAsia" w:hAnsi="宋体"/>
          <w:color w:val="auto"/>
        </w:rPr>
        <w:t>条件</w:t>
      </w:r>
      <w:r>
        <w:rPr>
          <w:rFonts w:hint="eastAsia" w:hAnsi="宋体"/>
          <w:color w:val="auto"/>
          <w:szCs w:val="24"/>
        </w:rPr>
        <w:t xml:space="preserve">： </w:t>
      </w:r>
    </w:p>
    <w:p>
      <w:pPr>
        <w:pStyle w:val="25"/>
        <w:tabs>
          <w:tab w:val="left" w:pos="360"/>
        </w:tabs>
        <w:adjustRightInd w:val="0"/>
        <w:snapToGrid w:val="0"/>
        <w:spacing w:line="360" w:lineRule="auto"/>
        <w:ind w:left="600" w:hanging="240"/>
        <w:rPr>
          <w:rFonts w:hAnsi="宋体"/>
          <w:color w:val="auto"/>
          <w:kern w:val="0"/>
          <w:szCs w:val="24"/>
        </w:rPr>
      </w:pPr>
      <w:r>
        <w:rPr>
          <w:rFonts w:hint="eastAsia" w:hAnsi="宋体"/>
          <w:snapToGrid w:val="0"/>
          <w:color w:val="auto"/>
          <w:kern w:val="0"/>
          <w:szCs w:val="24"/>
        </w:rPr>
        <w:t xml:space="preserve">1) </w:t>
      </w:r>
      <w:r>
        <w:rPr>
          <w:rFonts w:hint="eastAsia" w:hAnsi="宋体"/>
          <w:color w:val="auto"/>
          <w:kern w:val="0"/>
          <w:szCs w:val="24"/>
        </w:rPr>
        <w:t>参见第一部分</w:t>
      </w:r>
      <w:r>
        <w:rPr>
          <w:rFonts w:hAnsi="宋体"/>
          <w:color w:val="auto"/>
          <w:kern w:val="0"/>
          <w:szCs w:val="24"/>
        </w:rPr>
        <w:t>投标邀请函</w:t>
      </w:r>
      <w:r>
        <w:rPr>
          <w:rFonts w:hint="eastAsia" w:hAnsi="宋体"/>
          <w:color w:val="auto"/>
          <w:kern w:val="0"/>
          <w:szCs w:val="24"/>
        </w:rPr>
        <w:t>。</w:t>
      </w:r>
    </w:p>
    <w:p>
      <w:pPr>
        <w:pStyle w:val="25"/>
        <w:tabs>
          <w:tab w:val="left" w:pos="360"/>
        </w:tabs>
        <w:adjustRightInd w:val="0"/>
        <w:snapToGrid w:val="0"/>
        <w:spacing w:line="360" w:lineRule="auto"/>
        <w:ind w:left="600" w:hanging="240"/>
        <w:rPr>
          <w:rFonts w:hAnsi="宋体"/>
          <w:color w:val="auto"/>
          <w:szCs w:val="21"/>
        </w:rPr>
      </w:pPr>
      <w:r>
        <w:rPr>
          <w:rFonts w:hint="eastAsia" w:hAnsi="宋体"/>
          <w:color w:val="auto"/>
          <w:kern w:val="0"/>
          <w:szCs w:val="24"/>
        </w:rPr>
        <w:t xml:space="preserve">2) </w:t>
      </w:r>
      <w:r>
        <w:rPr>
          <w:rFonts w:hint="eastAsia" w:hAnsi="宋体"/>
          <w:color w:val="auto"/>
          <w:szCs w:val="21"/>
        </w:rPr>
        <w:t>关于分公司投标的，需提供具有法人资格的总公司的营业执照副本复印件及授权书。总公司可就本项目或此类项目在一定范围或时间内出具授权书。已由总公司授权的，总公司取得的相关资质证书对分公司有效。</w:t>
      </w:r>
    </w:p>
    <w:p>
      <w:pPr>
        <w:pStyle w:val="25"/>
        <w:tabs>
          <w:tab w:val="left" w:pos="360"/>
        </w:tabs>
        <w:adjustRightInd w:val="0"/>
        <w:snapToGrid w:val="0"/>
        <w:spacing w:line="360" w:lineRule="auto"/>
        <w:ind w:left="600" w:hanging="240"/>
        <w:rPr>
          <w:rFonts w:hAnsi="宋体"/>
          <w:color w:val="auto"/>
          <w:szCs w:val="21"/>
        </w:rPr>
      </w:pPr>
      <w:r>
        <w:rPr>
          <w:rFonts w:hint="eastAsia" w:hAnsi="宋体"/>
          <w:color w:val="auto"/>
          <w:kern w:val="0"/>
          <w:szCs w:val="24"/>
        </w:rPr>
        <w:t xml:space="preserve">3) </w:t>
      </w:r>
      <w:r>
        <w:rPr>
          <w:rFonts w:hint="eastAsia" w:hAnsi="宋体"/>
          <w:color w:val="auto"/>
          <w:szCs w:val="21"/>
        </w:rPr>
        <w:t>除联合体外，彼此存在投资与被投资关系的，或彼此的经营者、董事会（或同类管理机构）成员属于直系亲属或配偶关系的，不接受作为参与本采购项目中同一包（组）竞争的服务商。</w:t>
      </w:r>
    </w:p>
    <w:p>
      <w:pPr>
        <w:pStyle w:val="25"/>
        <w:tabs>
          <w:tab w:val="left" w:pos="360"/>
        </w:tabs>
        <w:adjustRightInd w:val="0"/>
        <w:snapToGrid w:val="0"/>
        <w:spacing w:line="360" w:lineRule="auto"/>
        <w:ind w:left="600" w:hanging="240"/>
        <w:rPr>
          <w:rFonts w:hAnsi="宋体"/>
          <w:b/>
          <w:bCs/>
          <w:color w:val="auto"/>
          <w:szCs w:val="21"/>
          <w:u w:val="single"/>
        </w:rPr>
      </w:pPr>
      <w:r>
        <w:rPr>
          <w:rFonts w:hint="eastAsia" w:hAnsi="宋体"/>
          <w:b/>
          <w:bCs/>
          <w:color w:val="auto"/>
          <w:szCs w:val="21"/>
          <w:u w:val="single"/>
        </w:rPr>
        <w:t>4）★投标人需在报名截止前到招标代理处购买招标文件，否则可视其为无效投标。</w:t>
      </w:r>
    </w:p>
    <w:p>
      <w:pPr>
        <w:pStyle w:val="25"/>
        <w:adjustRightInd w:val="0"/>
        <w:snapToGrid w:val="0"/>
        <w:spacing w:line="360" w:lineRule="auto"/>
        <w:rPr>
          <w:rFonts w:hAnsi="宋体"/>
          <w:color w:val="auto"/>
          <w:szCs w:val="24"/>
        </w:rPr>
      </w:pPr>
      <w:r>
        <w:rPr>
          <w:rFonts w:hint="eastAsia" w:hAnsi="宋体"/>
          <w:color w:val="auto"/>
          <w:szCs w:val="24"/>
        </w:rPr>
        <w:t>2.5“中标人”是指经法定程序确定并授予合同的投标人。</w:t>
      </w:r>
    </w:p>
    <w:p>
      <w:pPr>
        <w:pStyle w:val="25"/>
        <w:adjustRightInd w:val="0"/>
        <w:snapToGrid w:val="0"/>
        <w:spacing w:line="360" w:lineRule="auto"/>
        <w:rPr>
          <w:rFonts w:hAnsi="宋体"/>
          <w:color w:val="auto"/>
          <w:szCs w:val="24"/>
        </w:rPr>
      </w:pPr>
      <w:r>
        <w:rPr>
          <w:rFonts w:hint="eastAsia" w:hAnsi="宋体"/>
          <w:color w:val="auto"/>
          <w:szCs w:val="24"/>
        </w:rPr>
        <w:t>3. 合格的货物和服务</w:t>
      </w:r>
    </w:p>
    <w:p>
      <w:pPr>
        <w:adjustRightInd w:val="0"/>
        <w:snapToGrid w:val="0"/>
        <w:spacing w:line="360" w:lineRule="auto"/>
        <w:ind w:left="420" w:hanging="420" w:hangingChars="200"/>
        <w:rPr>
          <w:rFonts w:ascii="宋体" w:hAnsi="宋体"/>
          <w:color w:val="auto"/>
        </w:rPr>
      </w:pPr>
      <w:r>
        <w:rPr>
          <w:rFonts w:hint="eastAsia" w:ascii="宋体" w:hAnsi="宋体"/>
          <w:color w:val="auto"/>
        </w:rPr>
        <w:t>3.1“货物”是指投标人制造或组织符合招标文件要求的货物等。招标文件中没有提及招标货物来源地的，根据《政府采购法》的相关规定均应是本国货物，优先采购节能、环保产品。</w:t>
      </w:r>
      <w:r>
        <w:rPr>
          <w:rFonts w:hint="eastAsia" w:ascii="宋体" w:hAnsi="宋体"/>
          <w:snapToGrid w:val="0"/>
          <w:color w:val="auto"/>
        </w:rPr>
        <w:t>投标的货物必须是其合法生产的符合国家有关标准要求的货物，并满足政府招标文件规定的规格、参数、质量、价格、有效期、售后服务等要求。</w:t>
      </w:r>
    </w:p>
    <w:p>
      <w:pPr>
        <w:pStyle w:val="25"/>
        <w:adjustRightInd w:val="0"/>
        <w:snapToGrid w:val="0"/>
        <w:spacing w:line="360" w:lineRule="auto"/>
        <w:ind w:left="473" w:hanging="472" w:hangingChars="225"/>
        <w:rPr>
          <w:rFonts w:hAnsi="宋体"/>
          <w:color w:val="auto"/>
          <w:szCs w:val="24"/>
        </w:rPr>
      </w:pPr>
      <w:r>
        <w:rPr>
          <w:rFonts w:hint="eastAsia" w:hAnsi="宋体"/>
          <w:color w:val="auto"/>
          <w:szCs w:val="24"/>
        </w:rPr>
        <w:t>3.2“服务”是指除</w:t>
      </w:r>
      <w:r>
        <w:rPr>
          <w:rFonts w:hint="eastAsia" w:hAnsi="宋体"/>
          <w:color w:val="auto"/>
        </w:rPr>
        <w:t>货物</w:t>
      </w:r>
      <w:r>
        <w:rPr>
          <w:rFonts w:hint="eastAsia" w:hAnsi="宋体"/>
          <w:color w:val="auto"/>
          <w:szCs w:val="24"/>
        </w:rPr>
        <w:t>和工程以外的其他政府采购对象,其中包括：投标人须承担的运输、安装、技术支持、培训以及招标文件规定的其它服务。</w:t>
      </w:r>
    </w:p>
    <w:p>
      <w:pPr>
        <w:pStyle w:val="25"/>
        <w:adjustRightInd w:val="0"/>
        <w:snapToGrid w:val="0"/>
        <w:spacing w:line="360" w:lineRule="auto"/>
        <w:rPr>
          <w:rFonts w:hAnsi="宋体"/>
          <w:color w:val="auto"/>
          <w:szCs w:val="24"/>
        </w:rPr>
      </w:pPr>
      <w:r>
        <w:rPr>
          <w:rFonts w:hint="eastAsia" w:hAnsi="宋体"/>
          <w:color w:val="auto"/>
          <w:szCs w:val="24"/>
        </w:rPr>
        <w:t>4．投标费用</w:t>
      </w:r>
    </w:p>
    <w:p>
      <w:pPr>
        <w:pStyle w:val="25"/>
        <w:adjustRightInd w:val="0"/>
        <w:snapToGrid w:val="0"/>
        <w:spacing w:line="360" w:lineRule="auto"/>
        <w:ind w:left="420" w:hanging="420"/>
        <w:rPr>
          <w:rFonts w:hAnsi="宋体"/>
          <w:color w:val="auto"/>
          <w:szCs w:val="24"/>
        </w:rPr>
      </w:pPr>
      <w:r>
        <w:rPr>
          <w:rFonts w:hint="eastAsia" w:hAnsi="宋体"/>
          <w:color w:val="auto"/>
          <w:szCs w:val="24"/>
        </w:rPr>
        <w:t>4.1投标人应承担所有与准备和参加投标有关的费用。不论投标的结果如何，政府采购代理机构和采购人均无义务和责任承担这些费用。</w:t>
      </w:r>
    </w:p>
    <w:p>
      <w:pPr>
        <w:pStyle w:val="25"/>
        <w:adjustRightInd w:val="0"/>
        <w:snapToGrid w:val="0"/>
        <w:spacing w:line="360" w:lineRule="auto"/>
        <w:ind w:left="420" w:hanging="420"/>
        <w:rPr>
          <w:rFonts w:hAnsi="宋体"/>
          <w:color w:val="auto"/>
          <w:szCs w:val="24"/>
        </w:rPr>
      </w:pPr>
      <w:r>
        <w:rPr>
          <w:rFonts w:hint="eastAsia" w:hAnsi="宋体"/>
          <w:color w:val="auto"/>
          <w:szCs w:val="24"/>
        </w:rPr>
        <w:t>4.2本次招标向中标人收取的招标代理服务费，按国家有关规定执行（《投标须知前附表》有其它规定的，从其规定）。</w:t>
      </w:r>
    </w:p>
    <w:p>
      <w:pPr>
        <w:pStyle w:val="25"/>
        <w:adjustRightInd w:val="0"/>
        <w:snapToGrid w:val="0"/>
        <w:spacing w:line="360" w:lineRule="auto"/>
        <w:ind w:left="382" w:leftChars="57" w:hanging="262" w:hangingChars="125"/>
        <w:rPr>
          <w:rFonts w:hAnsi="宋体"/>
          <w:color w:val="auto"/>
          <w:szCs w:val="24"/>
        </w:rPr>
      </w:pPr>
      <w:r>
        <w:rPr>
          <w:rFonts w:hAnsi="宋体"/>
          <w:color w:val="auto"/>
          <w:szCs w:val="24"/>
        </w:rPr>
        <w:t>(1)</w:t>
      </w:r>
      <w:r>
        <w:rPr>
          <w:rFonts w:hint="eastAsia" w:hAnsi="宋体"/>
          <w:color w:val="auto"/>
          <w:szCs w:val="24"/>
        </w:rPr>
        <w:t>招标代理服务费币种与中标通知书中中标价的币种相同</w:t>
      </w:r>
    </w:p>
    <w:p>
      <w:pPr>
        <w:pStyle w:val="25"/>
        <w:adjustRightInd w:val="0"/>
        <w:snapToGrid w:val="0"/>
        <w:spacing w:line="360" w:lineRule="auto"/>
        <w:ind w:left="382" w:leftChars="57" w:hanging="262" w:hangingChars="125"/>
        <w:rPr>
          <w:rFonts w:hAnsi="宋体"/>
          <w:color w:val="auto"/>
          <w:szCs w:val="24"/>
        </w:rPr>
      </w:pPr>
      <w:r>
        <w:rPr>
          <w:rFonts w:hAnsi="宋体"/>
          <w:color w:val="auto"/>
          <w:szCs w:val="24"/>
        </w:rPr>
        <w:t>(</w:t>
      </w:r>
      <w:r>
        <w:rPr>
          <w:rFonts w:hint="eastAsia" w:hAnsi="宋体"/>
          <w:color w:val="auto"/>
          <w:szCs w:val="24"/>
        </w:rPr>
        <w:t>2</w:t>
      </w:r>
      <w:r>
        <w:rPr>
          <w:rFonts w:hAnsi="宋体"/>
          <w:color w:val="auto"/>
          <w:szCs w:val="24"/>
        </w:rPr>
        <w:t>)</w:t>
      </w:r>
      <w:r>
        <w:rPr>
          <w:rFonts w:hint="eastAsia" w:hAnsi="宋体"/>
          <w:color w:val="auto"/>
          <w:szCs w:val="24"/>
        </w:rPr>
        <w:t>招标代理服务费不列在投标报价中。</w:t>
      </w:r>
    </w:p>
    <w:p>
      <w:pPr>
        <w:pStyle w:val="25"/>
        <w:adjustRightInd w:val="0"/>
        <w:snapToGrid w:val="0"/>
        <w:spacing w:line="360" w:lineRule="auto"/>
        <w:ind w:left="382" w:leftChars="57" w:hanging="262" w:hangingChars="125"/>
        <w:rPr>
          <w:rFonts w:hAnsi="宋体"/>
          <w:color w:val="auto"/>
          <w:szCs w:val="24"/>
        </w:rPr>
      </w:pPr>
      <w:r>
        <w:rPr>
          <w:rFonts w:hAnsi="宋体"/>
          <w:color w:val="auto"/>
          <w:szCs w:val="24"/>
        </w:rPr>
        <w:t>(</w:t>
      </w:r>
      <w:r>
        <w:rPr>
          <w:rFonts w:hint="eastAsia" w:hAnsi="宋体"/>
          <w:color w:val="auto"/>
          <w:szCs w:val="24"/>
        </w:rPr>
        <w:t>3</w:t>
      </w:r>
      <w:r>
        <w:rPr>
          <w:rFonts w:hAnsi="宋体"/>
          <w:color w:val="auto"/>
          <w:szCs w:val="24"/>
        </w:rPr>
        <w:t>)</w:t>
      </w:r>
      <w:r>
        <w:rPr>
          <w:rFonts w:hint="eastAsia" w:hAnsi="宋体"/>
          <w:color w:val="auto"/>
          <w:szCs w:val="24"/>
        </w:rPr>
        <w:t>中标人在收到中标通知书当天向政府采购代理机构交纳招标代理服务费。</w:t>
      </w:r>
    </w:p>
    <w:p>
      <w:pPr>
        <w:pStyle w:val="25"/>
        <w:adjustRightInd w:val="0"/>
        <w:snapToGrid w:val="0"/>
        <w:spacing w:line="360" w:lineRule="auto"/>
        <w:ind w:left="382" w:leftChars="57" w:hanging="262" w:hangingChars="125"/>
        <w:rPr>
          <w:rFonts w:hAnsi="宋体"/>
          <w:color w:val="auto"/>
          <w:szCs w:val="24"/>
        </w:rPr>
      </w:pPr>
      <w:r>
        <w:rPr>
          <w:rFonts w:hAnsi="宋体"/>
          <w:color w:val="auto"/>
          <w:szCs w:val="24"/>
        </w:rPr>
        <w:t>(</w:t>
      </w:r>
      <w:r>
        <w:rPr>
          <w:rFonts w:hint="eastAsia" w:hAnsi="宋体"/>
          <w:color w:val="auto"/>
          <w:szCs w:val="24"/>
        </w:rPr>
        <w:t>4</w:t>
      </w:r>
      <w:r>
        <w:rPr>
          <w:rFonts w:hAnsi="宋体"/>
          <w:color w:val="auto"/>
          <w:szCs w:val="24"/>
        </w:rPr>
        <w:t>)</w:t>
      </w:r>
      <w:r>
        <w:rPr>
          <w:rFonts w:hint="eastAsia" w:hAnsi="宋体"/>
          <w:color w:val="auto"/>
          <w:szCs w:val="24"/>
        </w:rPr>
        <w:t>招标代理服务费以银行付款的形式用人民币一次性支付，收款银行账号以招标代理机构发出的交纳招标代理服务费的指定的银行账号为准。</w:t>
      </w:r>
    </w:p>
    <w:p>
      <w:pPr>
        <w:pStyle w:val="25"/>
        <w:adjustRightInd w:val="0"/>
        <w:snapToGrid w:val="0"/>
        <w:spacing w:line="360" w:lineRule="auto"/>
        <w:ind w:left="382" w:leftChars="57" w:hanging="262" w:hangingChars="125"/>
        <w:rPr>
          <w:rFonts w:ascii="Times New Roman" w:hAnsi="Times New Roman"/>
          <w:color w:val="auto"/>
          <w:szCs w:val="24"/>
        </w:rPr>
      </w:pPr>
      <w:r>
        <w:rPr>
          <w:rFonts w:hAnsi="宋体"/>
          <w:color w:val="auto"/>
          <w:szCs w:val="24"/>
        </w:rPr>
        <w:t>(</w:t>
      </w:r>
      <w:r>
        <w:rPr>
          <w:rFonts w:hint="eastAsia" w:hAnsi="宋体"/>
          <w:color w:val="auto"/>
          <w:szCs w:val="24"/>
        </w:rPr>
        <w:t>5</w:t>
      </w:r>
      <w:r>
        <w:rPr>
          <w:rFonts w:hAnsi="宋体"/>
          <w:color w:val="auto"/>
          <w:szCs w:val="24"/>
        </w:rPr>
        <w:t>)</w:t>
      </w:r>
      <w:r>
        <w:rPr>
          <w:rFonts w:hint="eastAsia" w:hAnsi="宋体"/>
          <w:color w:val="auto"/>
          <w:szCs w:val="24"/>
        </w:rPr>
        <w:t>按国家发展计划委员会颁发的[2002]1980号文《招标代理服务收费管理暂行办法》及</w:t>
      </w:r>
      <w:r>
        <w:rPr>
          <w:rFonts w:hAnsi="宋体"/>
          <w:color w:val="auto"/>
          <w:szCs w:val="24"/>
        </w:rPr>
        <w:t>发改价格[2011]534号</w:t>
      </w:r>
      <w:r>
        <w:rPr>
          <w:rFonts w:hint="eastAsia" w:hAnsi="宋体"/>
          <w:color w:val="auto"/>
          <w:szCs w:val="24"/>
        </w:rPr>
        <w:t>文的规定交纳招标代理服务费</w:t>
      </w:r>
      <w:r>
        <w:rPr>
          <w:rFonts w:hint="eastAsia" w:ascii="Times New Roman" w:hAnsi="Times New Roman"/>
          <w:color w:val="auto"/>
          <w:szCs w:val="24"/>
        </w:rPr>
        <w:t>。</w:t>
      </w:r>
    </w:p>
    <w:p>
      <w:pPr>
        <w:pStyle w:val="25"/>
        <w:adjustRightInd w:val="0"/>
        <w:snapToGrid w:val="0"/>
        <w:spacing w:line="360" w:lineRule="auto"/>
        <w:ind w:left="420" w:hanging="420"/>
        <w:rPr>
          <w:rFonts w:ascii="Times New Roman" w:hAnsi="Times New Roman"/>
          <w:b/>
          <w:color w:val="auto"/>
          <w:szCs w:val="24"/>
        </w:rPr>
      </w:pPr>
      <w:r>
        <w:rPr>
          <w:rFonts w:hint="eastAsia" w:ascii="Times New Roman" w:hAnsi="Times New Roman"/>
          <w:b/>
          <w:color w:val="auto"/>
          <w:szCs w:val="24"/>
        </w:rPr>
        <w:t>二、招标文件</w:t>
      </w:r>
    </w:p>
    <w:p>
      <w:pPr>
        <w:pStyle w:val="25"/>
        <w:adjustRightInd w:val="0"/>
        <w:snapToGrid w:val="0"/>
        <w:spacing w:line="360" w:lineRule="auto"/>
        <w:ind w:left="420" w:hanging="420"/>
        <w:rPr>
          <w:rFonts w:hAnsi="宋体"/>
          <w:color w:val="auto"/>
          <w:szCs w:val="24"/>
        </w:rPr>
      </w:pPr>
      <w:r>
        <w:rPr>
          <w:rFonts w:hint="eastAsia" w:hAnsi="宋体"/>
          <w:color w:val="auto"/>
          <w:szCs w:val="24"/>
        </w:rPr>
        <w:t>5. 招标文件的构成</w:t>
      </w:r>
    </w:p>
    <w:p>
      <w:pPr>
        <w:pStyle w:val="25"/>
        <w:adjustRightInd w:val="0"/>
        <w:snapToGrid w:val="0"/>
        <w:spacing w:line="360" w:lineRule="auto"/>
        <w:ind w:left="420" w:hanging="420"/>
        <w:rPr>
          <w:rFonts w:hAnsi="宋体"/>
          <w:color w:val="auto"/>
          <w:szCs w:val="24"/>
        </w:rPr>
      </w:pPr>
      <w:r>
        <w:rPr>
          <w:rFonts w:hint="eastAsia" w:hAnsi="宋体"/>
          <w:color w:val="auto"/>
          <w:szCs w:val="24"/>
        </w:rPr>
        <w:t>5.1招标文件由下列文件以及在招标过程中发出的修正和补充文件组成：</w:t>
      </w:r>
    </w:p>
    <w:p>
      <w:pPr>
        <w:pStyle w:val="25"/>
        <w:adjustRightInd w:val="0"/>
        <w:snapToGrid w:val="0"/>
        <w:spacing w:line="360" w:lineRule="auto"/>
        <w:ind w:firstLine="360"/>
        <w:rPr>
          <w:rFonts w:hAnsi="宋体"/>
          <w:color w:val="auto"/>
          <w:szCs w:val="24"/>
        </w:rPr>
      </w:pPr>
      <w:r>
        <w:rPr>
          <w:rFonts w:hint="eastAsia"/>
          <w:color w:val="auto"/>
        </w:rPr>
        <w:t>（1）</w:t>
      </w:r>
      <w:r>
        <w:rPr>
          <w:rFonts w:hint="eastAsia" w:hAnsi="宋体"/>
          <w:color w:val="auto"/>
          <w:szCs w:val="24"/>
        </w:rPr>
        <w:t xml:space="preserve"> 投标邀请函</w:t>
      </w:r>
    </w:p>
    <w:p>
      <w:pPr>
        <w:pStyle w:val="25"/>
        <w:adjustRightInd w:val="0"/>
        <w:snapToGrid w:val="0"/>
        <w:spacing w:line="360" w:lineRule="auto"/>
        <w:ind w:firstLine="360"/>
        <w:rPr>
          <w:rFonts w:hAnsi="宋体"/>
          <w:color w:val="auto"/>
          <w:szCs w:val="24"/>
        </w:rPr>
      </w:pPr>
      <w:r>
        <w:rPr>
          <w:rFonts w:hint="eastAsia"/>
          <w:color w:val="auto"/>
        </w:rPr>
        <w:t>（2）</w:t>
      </w:r>
      <w:r>
        <w:rPr>
          <w:rFonts w:hint="eastAsia" w:hAnsi="宋体"/>
          <w:color w:val="auto"/>
          <w:szCs w:val="24"/>
        </w:rPr>
        <w:t xml:space="preserve"> 用户需求书</w:t>
      </w:r>
    </w:p>
    <w:p>
      <w:pPr>
        <w:pStyle w:val="25"/>
        <w:adjustRightInd w:val="0"/>
        <w:snapToGrid w:val="0"/>
        <w:spacing w:line="360" w:lineRule="auto"/>
        <w:ind w:firstLine="360"/>
        <w:rPr>
          <w:rFonts w:hAnsi="宋体"/>
          <w:color w:val="auto"/>
          <w:szCs w:val="24"/>
        </w:rPr>
      </w:pPr>
      <w:r>
        <w:rPr>
          <w:rFonts w:hint="eastAsia"/>
          <w:color w:val="auto"/>
        </w:rPr>
        <w:t>（3）</w:t>
      </w:r>
      <w:r>
        <w:rPr>
          <w:rFonts w:hint="eastAsia" w:hAnsi="宋体"/>
          <w:color w:val="auto"/>
          <w:szCs w:val="24"/>
        </w:rPr>
        <w:t xml:space="preserve"> 投标须知</w:t>
      </w:r>
    </w:p>
    <w:p>
      <w:pPr>
        <w:pStyle w:val="25"/>
        <w:adjustRightInd w:val="0"/>
        <w:snapToGrid w:val="0"/>
        <w:spacing w:line="360" w:lineRule="auto"/>
        <w:ind w:firstLine="360"/>
        <w:rPr>
          <w:rFonts w:hAnsi="宋体"/>
          <w:color w:val="auto"/>
          <w:szCs w:val="24"/>
        </w:rPr>
      </w:pPr>
      <w:r>
        <w:rPr>
          <w:rFonts w:hint="eastAsia"/>
          <w:color w:val="auto"/>
        </w:rPr>
        <w:t>（4）</w:t>
      </w:r>
      <w:r>
        <w:rPr>
          <w:rFonts w:hint="eastAsia" w:hAnsi="宋体"/>
          <w:color w:val="auto"/>
          <w:szCs w:val="24"/>
        </w:rPr>
        <w:t xml:space="preserve"> 评标办法</w:t>
      </w:r>
    </w:p>
    <w:p>
      <w:pPr>
        <w:pStyle w:val="25"/>
        <w:adjustRightInd w:val="0"/>
        <w:snapToGrid w:val="0"/>
        <w:spacing w:line="360" w:lineRule="auto"/>
        <w:ind w:firstLine="360"/>
        <w:rPr>
          <w:rFonts w:hAnsi="宋体"/>
          <w:color w:val="auto"/>
          <w:szCs w:val="24"/>
        </w:rPr>
      </w:pPr>
      <w:r>
        <w:rPr>
          <w:rFonts w:hint="eastAsia"/>
          <w:color w:val="auto"/>
        </w:rPr>
        <w:t xml:space="preserve">（5） </w:t>
      </w:r>
      <w:r>
        <w:rPr>
          <w:rFonts w:hint="eastAsia" w:hAnsi="宋体"/>
          <w:color w:val="auto"/>
          <w:szCs w:val="24"/>
        </w:rPr>
        <w:t>合同书格式</w:t>
      </w:r>
    </w:p>
    <w:p>
      <w:pPr>
        <w:pStyle w:val="25"/>
        <w:adjustRightInd w:val="0"/>
        <w:snapToGrid w:val="0"/>
        <w:spacing w:line="360" w:lineRule="auto"/>
        <w:ind w:firstLine="360"/>
        <w:rPr>
          <w:rFonts w:hAnsi="宋体"/>
          <w:color w:val="auto"/>
          <w:szCs w:val="24"/>
        </w:rPr>
      </w:pPr>
      <w:r>
        <w:rPr>
          <w:rFonts w:hint="eastAsia"/>
          <w:color w:val="auto"/>
        </w:rPr>
        <w:t>（6）</w:t>
      </w:r>
      <w:r>
        <w:rPr>
          <w:rFonts w:hint="eastAsia" w:hAnsi="宋体"/>
          <w:color w:val="auto"/>
          <w:szCs w:val="24"/>
        </w:rPr>
        <w:t xml:space="preserve"> 投标文件格式 </w:t>
      </w:r>
    </w:p>
    <w:p>
      <w:pPr>
        <w:pStyle w:val="25"/>
        <w:adjustRightInd w:val="0"/>
        <w:snapToGrid w:val="0"/>
        <w:spacing w:line="360" w:lineRule="auto"/>
        <w:ind w:firstLine="360"/>
        <w:rPr>
          <w:rFonts w:hAnsi="宋体"/>
          <w:color w:val="auto"/>
          <w:szCs w:val="24"/>
        </w:rPr>
      </w:pPr>
      <w:r>
        <w:rPr>
          <w:rFonts w:hint="eastAsia"/>
          <w:color w:val="auto"/>
        </w:rPr>
        <w:t>（7）</w:t>
      </w:r>
      <w:r>
        <w:rPr>
          <w:rFonts w:hint="eastAsia" w:hAnsi="宋体"/>
          <w:color w:val="auto"/>
          <w:szCs w:val="24"/>
        </w:rPr>
        <w:t xml:space="preserve"> 在招标过程中由政府采购代理机构发出的修正和补充文件等</w:t>
      </w:r>
    </w:p>
    <w:p>
      <w:pPr>
        <w:pStyle w:val="25"/>
        <w:adjustRightInd w:val="0"/>
        <w:snapToGrid w:val="0"/>
        <w:spacing w:line="360" w:lineRule="auto"/>
        <w:ind w:left="420" w:hanging="420"/>
        <w:rPr>
          <w:rFonts w:hAnsi="宋体"/>
          <w:color w:val="auto"/>
          <w:szCs w:val="24"/>
        </w:rPr>
      </w:pPr>
      <w:r>
        <w:rPr>
          <w:rFonts w:hint="eastAsia" w:hAnsi="宋体"/>
          <w:color w:val="auto"/>
          <w:szCs w:val="24"/>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25"/>
        <w:adjustRightInd w:val="0"/>
        <w:snapToGrid w:val="0"/>
        <w:spacing w:line="360" w:lineRule="auto"/>
        <w:rPr>
          <w:rFonts w:hAnsi="宋体"/>
          <w:color w:val="auto"/>
          <w:szCs w:val="24"/>
        </w:rPr>
      </w:pPr>
      <w:r>
        <w:rPr>
          <w:rFonts w:hint="eastAsia" w:hAnsi="宋体"/>
          <w:color w:val="auto"/>
          <w:szCs w:val="24"/>
        </w:rPr>
        <w:t>6. 招标文件的澄清</w:t>
      </w:r>
    </w:p>
    <w:p>
      <w:pPr>
        <w:pStyle w:val="25"/>
        <w:adjustRightInd w:val="0"/>
        <w:snapToGrid w:val="0"/>
        <w:spacing w:line="360" w:lineRule="auto"/>
        <w:ind w:left="360" w:hanging="360"/>
        <w:rPr>
          <w:rFonts w:ascii="Times New Roman" w:hAnsi="Times New Roman"/>
          <w:color w:val="auto"/>
          <w:szCs w:val="24"/>
        </w:rPr>
      </w:pPr>
      <w:r>
        <w:rPr>
          <w:rFonts w:hint="eastAsia" w:hAnsi="宋体"/>
          <w:color w:val="auto"/>
          <w:szCs w:val="24"/>
        </w:rPr>
        <w:t>6.1任何要求对招标文件进行澄清的投标人，均应以书面形式在投标截止时间十五日以前通知政府采购代理机构。但投标人应</w:t>
      </w:r>
      <w:r>
        <w:rPr>
          <w:rFonts w:hint="eastAsia" w:ascii="Times New Roman" w:hAnsi="Times New Roman"/>
          <w:color w:val="auto"/>
          <w:szCs w:val="24"/>
        </w:rPr>
        <w:t>按《投标须知前附表》所示的联系方式以书面形式将澄清要求通知政府采购代理机构，并须为政府采购代理机构在限期前的答复留下适当的工作时间。政府采购代理机构将组织采购人对投标人所要求澄清的内容均以书面形式予以答复。必要时，政府采购代理机构将组织相关专家召开答疑会，并将会议内容以书面的形式发给每个购买招标文件的潜在投标人（答复中不包括问题的来源）。</w:t>
      </w:r>
    </w:p>
    <w:p>
      <w:pPr>
        <w:pStyle w:val="25"/>
        <w:tabs>
          <w:tab w:val="left" w:pos="540"/>
        </w:tabs>
        <w:adjustRightInd w:val="0"/>
        <w:snapToGrid w:val="0"/>
        <w:spacing w:line="360" w:lineRule="auto"/>
        <w:ind w:left="360" w:hanging="360"/>
        <w:rPr>
          <w:rFonts w:hAnsi="宋体"/>
          <w:color w:val="auto"/>
          <w:spacing w:val="-6"/>
          <w:szCs w:val="24"/>
        </w:rPr>
      </w:pPr>
      <w:r>
        <w:rPr>
          <w:rFonts w:hint="eastAsia" w:hAnsi="宋体"/>
          <w:color w:val="auto"/>
          <w:spacing w:val="-6"/>
          <w:szCs w:val="24"/>
        </w:rPr>
        <w:t>6.2投标人在规定的时间内未对招标文件澄清或提出疑问的，</w:t>
      </w:r>
      <w:r>
        <w:rPr>
          <w:rFonts w:hint="eastAsia" w:hAnsi="宋体"/>
          <w:color w:val="auto"/>
          <w:szCs w:val="24"/>
        </w:rPr>
        <w:t>政府采购代理机构将</w:t>
      </w:r>
      <w:r>
        <w:rPr>
          <w:rFonts w:hint="eastAsia" w:hAnsi="宋体"/>
          <w:color w:val="auto"/>
          <w:spacing w:val="-6"/>
          <w:szCs w:val="24"/>
        </w:rPr>
        <w:t>视其为无异议。对招标文件中描述有歧意或前后不一致的地方，评标委员会有权进行评判，但对同一条款的评判应适用于每个投标人。</w:t>
      </w:r>
    </w:p>
    <w:p>
      <w:pPr>
        <w:pStyle w:val="25"/>
        <w:adjustRightInd w:val="0"/>
        <w:snapToGrid w:val="0"/>
        <w:spacing w:line="360" w:lineRule="auto"/>
        <w:rPr>
          <w:rFonts w:hAnsi="宋体"/>
          <w:color w:val="auto"/>
          <w:szCs w:val="24"/>
        </w:rPr>
      </w:pPr>
      <w:r>
        <w:rPr>
          <w:rFonts w:hint="eastAsia" w:hAnsi="宋体"/>
          <w:color w:val="auto"/>
          <w:szCs w:val="24"/>
        </w:rPr>
        <w:t>7. 招标文件的修改</w:t>
      </w:r>
    </w:p>
    <w:p>
      <w:pPr>
        <w:pStyle w:val="25"/>
        <w:adjustRightInd w:val="0"/>
        <w:snapToGrid w:val="0"/>
        <w:spacing w:line="360" w:lineRule="auto"/>
        <w:ind w:left="420" w:hanging="420"/>
        <w:rPr>
          <w:rFonts w:hAnsi="宋体"/>
          <w:color w:val="auto"/>
          <w:szCs w:val="24"/>
        </w:rPr>
      </w:pPr>
      <w:r>
        <w:rPr>
          <w:rFonts w:hint="eastAsia" w:hAnsi="宋体"/>
          <w:color w:val="auto"/>
          <w:szCs w:val="24"/>
        </w:rPr>
        <w:t>7.l在投标截止时间十五日以前，无论出于何种原因，政府采购代理机构可主动地或在解答投标人提出的疑问时对招标文件进行修改。</w:t>
      </w:r>
    </w:p>
    <w:p>
      <w:pPr>
        <w:pStyle w:val="25"/>
        <w:adjustRightInd w:val="0"/>
        <w:snapToGrid w:val="0"/>
        <w:spacing w:line="360" w:lineRule="auto"/>
        <w:ind w:left="360" w:hanging="360"/>
        <w:rPr>
          <w:rFonts w:hAnsi="宋体"/>
          <w:color w:val="auto"/>
          <w:szCs w:val="24"/>
        </w:rPr>
      </w:pPr>
      <w:r>
        <w:rPr>
          <w:rFonts w:hint="eastAsia" w:hAnsi="宋体"/>
          <w:color w:val="auto"/>
          <w:szCs w:val="24"/>
        </w:rPr>
        <w:t>7.2修改后的内容是招标文件的组成部分，将以书面形式通知所有购买招标文件的潜在投标人，并对潜在投标人具有约束力。潜在投标人在收到上述通知后，应立即以书面形式向政府采购代理机构确认。</w:t>
      </w:r>
    </w:p>
    <w:p>
      <w:pPr>
        <w:spacing w:line="360" w:lineRule="auto"/>
        <w:ind w:left="360" w:hanging="360"/>
        <w:rPr>
          <w:color w:val="auto"/>
        </w:rPr>
      </w:pPr>
      <w:r>
        <w:rPr>
          <w:rFonts w:hint="eastAsia" w:ascii="宋体" w:hAnsi="宋体"/>
          <w:color w:val="auto"/>
        </w:rPr>
        <w:t>7.3为使投标人准备投标时有充足时间对招标文件的修改部分进行研究，政府采购代理机构可适当推迟投标截</w:t>
      </w:r>
      <w:r>
        <w:rPr>
          <w:rFonts w:hint="eastAsia"/>
          <w:color w:val="auto"/>
        </w:rPr>
        <w:t>止期，但应发布公告并书面通知所有购买招标文件的潜在投标人。</w:t>
      </w:r>
    </w:p>
    <w:p>
      <w:pPr>
        <w:pStyle w:val="25"/>
        <w:adjustRightInd w:val="0"/>
        <w:snapToGrid w:val="0"/>
        <w:spacing w:line="360" w:lineRule="auto"/>
        <w:rPr>
          <w:rFonts w:ascii="Times New Roman" w:hAnsi="Times New Roman"/>
          <w:b/>
          <w:color w:val="auto"/>
          <w:szCs w:val="24"/>
        </w:rPr>
      </w:pPr>
      <w:r>
        <w:rPr>
          <w:rFonts w:hint="eastAsia" w:ascii="Times New Roman" w:hAnsi="Times New Roman"/>
          <w:b/>
          <w:color w:val="auto"/>
          <w:szCs w:val="24"/>
        </w:rPr>
        <w:t>三、投标文件的编制和数量</w:t>
      </w:r>
    </w:p>
    <w:p>
      <w:pPr>
        <w:pStyle w:val="25"/>
        <w:adjustRightInd w:val="0"/>
        <w:snapToGrid w:val="0"/>
        <w:spacing w:line="360" w:lineRule="auto"/>
        <w:rPr>
          <w:rFonts w:hAnsi="宋体"/>
          <w:color w:val="auto"/>
          <w:szCs w:val="24"/>
        </w:rPr>
      </w:pPr>
      <w:r>
        <w:rPr>
          <w:rFonts w:hint="eastAsia" w:hAnsi="宋体"/>
          <w:color w:val="auto"/>
          <w:szCs w:val="24"/>
        </w:rPr>
        <w:t>8．投标的语言</w:t>
      </w:r>
    </w:p>
    <w:p>
      <w:pPr>
        <w:spacing w:line="360" w:lineRule="auto"/>
        <w:ind w:left="360" w:hanging="360"/>
        <w:rPr>
          <w:rFonts w:ascii="宋体" w:hAnsi="宋体"/>
          <w:color w:val="auto"/>
        </w:rPr>
      </w:pPr>
      <w:r>
        <w:rPr>
          <w:rFonts w:hint="eastAsia" w:ascii="宋体" w:hAnsi="宋体"/>
          <w:color w:val="auto"/>
        </w:rPr>
        <w:t>8.1投标人提交的投标文件以及投标人与政府采购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25"/>
        <w:adjustRightInd w:val="0"/>
        <w:snapToGrid w:val="0"/>
        <w:spacing w:line="360" w:lineRule="auto"/>
        <w:rPr>
          <w:rFonts w:hAnsi="宋体"/>
          <w:color w:val="auto"/>
          <w:szCs w:val="24"/>
        </w:rPr>
      </w:pPr>
      <w:r>
        <w:rPr>
          <w:rFonts w:hint="eastAsia" w:hAnsi="宋体"/>
          <w:color w:val="auto"/>
          <w:szCs w:val="24"/>
        </w:rPr>
        <w:t>9．投标文件的构成</w:t>
      </w:r>
    </w:p>
    <w:p>
      <w:pPr>
        <w:pStyle w:val="25"/>
        <w:adjustRightInd w:val="0"/>
        <w:snapToGrid w:val="0"/>
        <w:spacing w:line="360" w:lineRule="auto"/>
        <w:rPr>
          <w:rFonts w:hAnsi="宋体"/>
          <w:color w:val="auto"/>
          <w:szCs w:val="24"/>
        </w:rPr>
      </w:pPr>
      <w:r>
        <w:rPr>
          <w:rFonts w:hint="eastAsia" w:hAnsi="宋体"/>
          <w:color w:val="auto"/>
        </w:rPr>
        <w:t>9.1</w:t>
      </w:r>
      <w:r>
        <w:rPr>
          <w:rFonts w:hint="eastAsia" w:hAnsi="宋体"/>
          <w:color w:val="auto"/>
          <w:szCs w:val="24"/>
        </w:rPr>
        <w:t>投标文件的构成应符合法律法规及招标文件的要求。</w:t>
      </w:r>
    </w:p>
    <w:p>
      <w:pPr>
        <w:spacing w:line="360" w:lineRule="auto"/>
        <w:ind w:left="360" w:hanging="360"/>
        <w:rPr>
          <w:rFonts w:ascii="宋体" w:hAnsi="宋体"/>
          <w:color w:val="auto"/>
        </w:rPr>
      </w:pPr>
      <w:r>
        <w:rPr>
          <w:rFonts w:hint="eastAsia" w:ascii="宋体" w:hAnsi="宋体"/>
          <w:color w:val="auto"/>
        </w:rPr>
        <w:t xml:space="preserve">9.2投标人应按本招标文件规定的内容和格式编制并提交投标文件，投标文件应参照招标文件第六部分的内容要求、编排顺序和格式要求，按顺序装订成册，提供全面的响应文件。包含但不限于以下内容： </w:t>
      </w:r>
    </w:p>
    <w:p>
      <w:pPr>
        <w:spacing w:line="360" w:lineRule="auto"/>
        <w:ind w:left="720" w:hanging="540"/>
        <w:jc w:val="both"/>
        <w:rPr>
          <w:rFonts w:ascii="宋体"/>
          <w:color w:val="auto"/>
        </w:rPr>
      </w:pPr>
      <w:r>
        <w:rPr>
          <w:rFonts w:hint="eastAsia" w:ascii="宋体"/>
          <w:color w:val="auto"/>
        </w:rPr>
        <w:t>（1）按本须知的规定填写的投标函、投标报价表；</w:t>
      </w:r>
    </w:p>
    <w:p>
      <w:pPr>
        <w:spacing w:line="360" w:lineRule="auto"/>
        <w:ind w:left="720" w:hanging="540"/>
        <w:jc w:val="both"/>
        <w:rPr>
          <w:rFonts w:ascii="宋体"/>
          <w:color w:val="auto"/>
        </w:rPr>
      </w:pPr>
      <w:r>
        <w:rPr>
          <w:rFonts w:hint="eastAsia" w:ascii="宋体"/>
          <w:color w:val="auto"/>
        </w:rPr>
        <w:t>（2）按本须知的要求出具的资格证明文件，证明投标人是合格的，而且中标后有能力履行合同；</w:t>
      </w:r>
    </w:p>
    <w:p>
      <w:pPr>
        <w:spacing w:line="360" w:lineRule="auto"/>
        <w:ind w:left="720" w:hanging="540"/>
        <w:jc w:val="both"/>
        <w:rPr>
          <w:rFonts w:ascii="宋体"/>
          <w:color w:val="auto"/>
        </w:rPr>
      </w:pPr>
      <w:r>
        <w:rPr>
          <w:rFonts w:hint="eastAsia" w:ascii="宋体"/>
          <w:color w:val="auto"/>
        </w:rPr>
        <w:t>（3）按本须知的规定出具的证明文件，证明投标人提供的服务是合格的，而且符合招标文件的规定；</w:t>
      </w:r>
    </w:p>
    <w:p>
      <w:pPr>
        <w:spacing w:line="360" w:lineRule="auto"/>
        <w:ind w:left="720" w:hanging="540"/>
        <w:jc w:val="both"/>
        <w:rPr>
          <w:rFonts w:ascii="宋体"/>
          <w:color w:val="auto"/>
        </w:rPr>
      </w:pPr>
      <w:r>
        <w:rPr>
          <w:rFonts w:hint="eastAsia" w:ascii="宋体"/>
          <w:color w:val="auto"/>
        </w:rPr>
        <w:t>（4）按本须知的规定提交的投标保证金；</w:t>
      </w:r>
    </w:p>
    <w:p>
      <w:pPr>
        <w:spacing w:line="360" w:lineRule="auto"/>
        <w:ind w:left="720" w:hanging="540"/>
        <w:jc w:val="both"/>
        <w:rPr>
          <w:rFonts w:ascii="宋体"/>
          <w:color w:val="auto"/>
        </w:rPr>
      </w:pPr>
      <w:r>
        <w:rPr>
          <w:rFonts w:hint="eastAsia" w:ascii="宋体"/>
          <w:color w:val="auto"/>
        </w:rPr>
        <w:t>（</w:t>
      </w:r>
      <w:r>
        <w:rPr>
          <w:rFonts w:ascii="宋体"/>
          <w:color w:val="auto"/>
        </w:rPr>
        <w:t>5</w:t>
      </w:r>
      <w:r>
        <w:rPr>
          <w:rFonts w:hint="eastAsia" w:ascii="宋体"/>
          <w:color w:val="auto"/>
        </w:rPr>
        <w:t>）对招标文件第二部分作出的书面响应，包括但不限于技术建议书、技术规格、技术参数、技术文件及图纸、商务要求等。</w:t>
      </w:r>
    </w:p>
    <w:p>
      <w:pPr>
        <w:pStyle w:val="25"/>
        <w:adjustRightInd w:val="0"/>
        <w:snapToGrid w:val="0"/>
        <w:spacing w:line="360" w:lineRule="auto"/>
        <w:rPr>
          <w:rFonts w:hAnsi="宋体"/>
          <w:color w:val="auto"/>
          <w:szCs w:val="24"/>
        </w:rPr>
      </w:pPr>
      <w:r>
        <w:rPr>
          <w:rFonts w:hint="eastAsia" w:hAnsi="宋体"/>
          <w:color w:val="auto"/>
          <w:szCs w:val="24"/>
        </w:rPr>
        <w:t>10. 投标文件编制</w:t>
      </w:r>
    </w:p>
    <w:p>
      <w:pPr>
        <w:pStyle w:val="25"/>
        <w:adjustRightInd w:val="0"/>
        <w:snapToGrid w:val="0"/>
        <w:spacing w:line="360" w:lineRule="auto"/>
        <w:ind w:left="420" w:hanging="420" w:hangingChars="200"/>
        <w:rPr>
          <w:rFonts w:ascii="Times New Roman" w:hAnsi="Times New Roman"/>
          <w:color w:val="auto"/>
          <w:szCs w:val="24"/>
        </w:rPr>
      </w:pPr>
      <w:r>
        <w:rPr>
          <w:rFonts w:hint="eastAsia" w:hAnsi="宋体"/>
          <w:color w:val="auto"/>
          <w:szCs w:val="24"/>
        </w:rPr>
        <w:t>10.1投标</w:t>
      </w:r>
      <w:r>
        <w:rPr>
          <w:rFonts w:hint="eastAsia" w:ascii="Times New Roman" w:hAnsi="Times New Roman"/>
          <w:color w:val="auto"/>
          <w:szCs w:val="24"/>
        </w:rPr>
        <w:t>人对招标文件中多个包（组）进行投标的，其投标文件的编制应按每个包（组）的要求分别装订和封装。投标人应当对投标文件进行装订，对未经装订的投标文件可能发生的文件散落或缺损，由此产生的后果由投标人承担。</w:t>
      </w:r>
    </w:p>
    <w:p>
      <w:pPr>
        <w:spacing w:line="360" w:lineRule="auto"/>
        <w:ind w:left="473" w:hanging="472" w:hangingChars="225"/>
        <w:rPr>
          <w:rFonts w:ascii="宋体" w:hAnsi="宋体"/>
          <w:color w:val="auto"/>
        </w:rPr>
      </w:pPr>
      <w:r>
        <w:rPr>
          <w:rFonts w:hint="eastAsia" w:ascii="宋体" w:hAnsi="宋体"/>
          <w:color w:val="auto"/>
        </w:rPr>
        <w:t>10.2投标人应完整、真实、准确的填写招标文件中规定的所有内容。</w:t>
      </w:r>
    </w:p>
    <w:p>
      <w:pPr>
        <w:pStyle w:val="25"/>
        <w:adjustRightInd w:val="0"/>
        <w:snapToGrid w:val="0"/>
        <w:spacing w:line="360" w:lineRule="auto"/>
        <w:ind w:left="420" w:hanging="420"/>
        <w:rPr>
          <w:rFonts w:hAnsi="宋体"/>
          <w:color w:val="auto"/>
          <w:szCs w:val="24"/>
        </w:rPr>
      </w:pPr>
      <w:r>
        <w:rPr>
          <w:rFonts w:hint="eastAsia" w:hAnsi="宋体"/>
          <w:color w:val="auto"/>
          <w:szCs w:val="24"/>
        </w:rPr>
        <w:t>10.3投标人必须对投标文件所提供的全部资料的真实性承担法律责任，并无条件接受政府采购代理机构及政府采购监督管理部门等对其中任何资料进行核实的要求。投标人必须对投标文件所提供的全部资料的真实性承担法律责任。</w:t>
      </w:r>
    </w:p>
    <w:p>
      <w:pPr>
        <w:pStyle w:val="25"/>
        <w:adjustRightInd w:val="0"/>
        <w:snapToGrid w:val="0"/>
        <w:spacing w:line="360" w:lineRule="auto"/>
        <w:ind w:left="420" w:hanging="420"/>
        <w:rPr>
          <w:rFonts w:hAnsi="宋体"/>
          <w:color w:val="auto"/>
          <w:szCs w:val="24"/>
        </w:rPr>
      </w:pPr>
      <w:r>
        <w:rPr>
          <w:rFonts w:hint="eastAsia" w:hAnsi="宋体"/>
          <w:color w:val="auto"/>
          <w:szCs w:val="24"/>
        </w:rPr>
        <w:t>10.4如果因为投标人投标文件填报的内容不详，或没有提供招标文件中所要求的全部资料及数据，由此造成的后果，其责任由投标人承担。</w:t>
      </w:r>
    </w:p>
    <w:p>
      <w:pPr>
        <w:pStyle w:val="25"/>
        <w:adjustRightInd w:val="0"/>
        <w:snapToGrid w:val="0"/>
        <w:spacing w:line="360" w:lineRule="auto"/>
        <w:rPr>
          <w:rFonts w:hAnsi="宋体"/>
          <w:color w:val="auto"/>
          <w:szCs w:val="24"/>
        </w:rPr>
      </w:pPr>
      <w:r>
        <w:rPr>
          <w:rFonts w:hint="eastAsia" w:hAnsi="宋体"/>
          <w:color w:val="auto"/>
          <w:szCs w:val="24"/>
        </w:rPr>
        <w:t>11. 投标报价</w:t>
      </w:r>
    </w:p>
    <w:p>
      <w:pPr>
        <w:autoSpaceDE w:val="0"/>
        <w:autoSpaceDN w:val="0"/>
        <w:adjustRightInd w:val="0"/>
        <w:snapToGrid w:val="0"/>
        <w:spacing w:line="360" w:lineRule="auto"/>
        <w:ind w:left="420" w:right="-148" w:hanging="420" w:hangingChars="200"/>
        <w:rPr>
          <w:rFonts w:ascii="宋体" w:hAnsi="宋体"/>
          <w:color w:val="auto"/>
        </w:rPr>
      </w:pPr>
      <w:r>
        <w:rPr>
          <w:rFonts w:hint="eastAsia" w:ascii="宋体" w:hAnsi="宋体"/>
          <w:color w:val="auto"/>
        </w:rPr>
        <w:t>11.1投标人所提供的服务均应以人民币报价，若同时以人民币及外币报价的，以人民币报价为准。</w:t>
      </w:r>
    </w:p>
    <w:p>
      <w:pPr>
        <w:pStyle w:val="25"/>
        <w:adjustRightInd w:val="0"/>
        <w:snapToGrid w:val="0"/>
        <w:spacing w:line="360" w:lineRule="auto"/>
        <w:ind w:left="420" w:hanging="420"/>
        <w:rPr>
          <w:rFonts w:hAnsi="宋体"/>
          <w:color w:val="auto"/>
          <w:kern w:val="0"/>
          <w:szCs w:val="24"/>
        </w:rPr>
      </w:pPr>
      <w:r>
        <w:rPr>
          <w:rFonts w:hint="eastAsia" w:hAnsi="宋体"/>
          <w:color w:val="auto"/>
          <w:kern w:val="0"/>
          <w:szCs w:val="24"/>
        </w:rPr>
        <w:t>11.2投标人应按照“第二部分  用户需求书”规定的内容、</w:t>
      </w:r>
      <w:r>
        <w:rPr>
          <w:rFonts w:hint="eastAsia" w:hAnsi="宋体"/>
          <w:color w:val="auto"/>
          <w:szCs w:val="24"/>
        </w:rPr>
        <w:t>责任范围以及合同条款进行报价。并按《投标报价表》和《投标明细报价表》确定的格式报出分项价格和总价</w:t>
      </w:r>
      <w:r>
        <w:rPr>
          <w:rFonts w:hint="eastAsia" w:hAnsi="宋体"/>
          <w:color w:val="auto"/>
          <w:kern w:val="0"/>
          <w:szCs w:val="24"/>
        </w:rPr>
        <w:t>。投标总价中不得包含招标文件要求以外的内容，否则，在评标时不予核减。投标总价中也不得缺漏招标文件所要求的内容，否则，其投标将可能被视为无效投标或确定为投标无效。</w:t>
      </w:r>
    </w:p>
    <w:p>
      <w:pPr>
        <w:pStyle w:val="25"/>
        <w:adjustRightInd w:val="0"/>
        <w:snapToGrid w:val="0"/>
        <w:spacing w:line="360" w:lineRule="auto"/>
        <w:rPr>
          <w:rFonts w:hAnsi="宋体"/>
          <w:color w:val="auto"/>
          <w:szCs w:val="24"/>
        </w:rPr>
      </w:pPr>
      <w:r>
        <w:rPr>
          <w:rFonts w:hint="eastAsia" w:hAnsi="宋体"/>
          <w:color w:val="auto"/>
          <w:szCs w:val="24"/>
        </w:rPr>
        <w:t>11.3《投标明细报价表》填写时应响应下列要求：</w:t>
      </w:r>
    </w:p>
    <w:p>
      <w:pPr>
        <w:pStyle w:val="25"/>
        <w:adjustRightInd w:val="0"/>
        <w:snapToGrid w:val="0"/>
        <w:spacing w:line="360" w:lineRule="auto"/>
        <w:ind w:left="945" w:leftChars="200" w:hanging="525" w:hangingChars="250"/>
        <w:rPr>
          <w:rFonts w:hAnsi="宋体"/>
          <w:color w:val="auto"/>
          <w:szCs w:val="24"/>
        </w:rPr>
      </w:pPr>
      <w:r>
        <w:rPr>
          <w:rFonts w:hint="eastAsia"/>
          <w:color w:val="auto"/>
        </w:rPr>
        <w:t>（1）</w:t>
      </w:r>
      <w:r>
        <w:rPr>
          <w:rFonts w:hint="eastAsia" w:hAnsi="宋体"/>
          <w:color w:val="auto"/>
          <w:szCs w:val="24"/>
        </w:rPr>
        <w:t>对于报价免费的项目必须标明“免费”；</w:t>
      </w:r>
    </w:p>
    <w:p>
      <w:pPr>
        <w:pStyle w:val="25"/>
        <w:adjustRightInd w:val="0"/>
        <w:snapToGrid w:val="0"/>
        <w:spacing w:line="360" w:lineRule="auto"/>
        <w:ind w:left="945" w:leftChars="200" w:hanging="525" w:hangingChars="250"/>
        <w:rPr>
          <w:rFonts w:hAnsi="宋体"/>
          <w:color w:val="auto"/>
          <w:szCs w:val="24"/>
        </w:rPr>
      </w:pPr>
      <w:r>
        <w:rPr>
          <w:rFonts w:hint="eastAsia"/>
          <w:color w:val="auto"/>
        </w:rPr>
        <w:t xml:space="preserve">（2） </w:t>
      </w:r>
      <w:r>
        <w:rPr>
          <w:rFonts w:hint="eastAsia" w:hAnsi="宋体"/>
          <w:color w:val="auto"/>
          <w:szCs w:val="24"/>
        </w:rPr>
        <w:t>所有根据合同或其它原因应由投标人支付的税款和其它应交纳的费用都要包括在投标人提交的投标价格中；</w:t>
      </w:r>
    </w:p>
    <w:p>
      <w:pPr>
        <w:pStyle w:val="25"/>
        <w:adjustRightInd w:val="0"/>
        <w:snapToGrid w:val="0"/>
        <w:spacing w:line="360" w:lineRule="auto"/>
        <w:ind w:left="945" w:leftChars="200" w:hanging="525" w:hangingChars="250"/>
        <w:rPr>
          <w:rFonts w:hAnsi="宋体"/>
          <w:color w:val="auto"/>
          <w:szCs w:val="24"/>
        </w:rPr>
      </w:pPr>
      <w:r>
        <w:rPr>
          <w:rFonts w:hint="eastAsia"/>
          <w:color w:val="auto"/>
        </w:rPr>
        <w:t>（3）</w:t>
      </w:r>
      <w:r>
        <w:rPr>
          <w:rFonts w:hint="eastAsia" w:hAnsi="宋体"/>
          <w:color w:val="auto"/>
          <w:kern w:val="0"/>
          <w:szCs w:val="24"/>
        </w:rPr>
        <w:t>应包含服务全过程和伴随服务的其他所有费用。</w:t>
      </w:r>
    </w:p>
    <w:p>
      <w:pPr>
        <w:pStyle w:val="25"/>
        <w:adjustRightInd w:val="0"/>
        <w:snapToGrid w:val="0"/>
        <w:spacing w:line="360" w:lineRule="auto"/>
        <w:ind w:left="420" w:hanging="420"/>
        <w:rPr>
          <w:rFonts w:hAnsi="宋体"/>
          <w:color w:val="auto"/>
          <w:szCs w:val="24"/>
        </w:rPr>
      </w:pPr>
      <w:r>
        <w:rPr>
          <w:rFonts w:hint="eastAsia" w:hAnsi="宋体"/>
          <w:color w:val="auto"/>
          <w:szCs w:val="24"/>
        </w:rPr>
        <w:t>11.4每项分类服务只允许有一个报价，否则将被视为无效投标。</w:t>
      </w:r>
    </w:p>
    <w:p>
      <w:pPr>
        <w:spacing w:line="360" w:lineRule="auto"/>
        <w:rPr>
          <w:rFonts w:ascii="宋体" w:hAnsi="宋体"/>
          <w:color w:val="auto"/>
        </w:rPr>
      </w:pPr>
      <w:r>
        <w:rPr>
          <w:rFonts w:hint="eastAsia" w:ascii="宋体" w:hAnsi="宋体"/>
          <w:color w:val="auto"/>
        </w:rPr>
        <w:t>12. 备选方案</w:t>
      </w:r>
    </w:p>
    <w:p>
      <w:pPr>
        <w:pStyle w:val="25"/>
        <w:adjustRightInd w:val="0"/>
        <w:snapToGrid w:val="0"/>
        <w:spacing w:line="360" w:lineRule="auto"/>
        <w:ind w:left="422" w:leftChars="1" w:hanging="420" w:hangingChars="200"/>
        <w:rPr>
          <w:rFonts w:hAnsi="宋体"/>
          <w:color w:val="auto"/>
          <w:kern w:val="0"/>
          <w:szCs w:val="24"/>
        </w:rPr>
      </w:pPr>
      <w:r>
        <w:rPr>
          <w:rFonts w:hint="eastAsia" w:hAnsi="宋体"/>
          <w:color w:val="auto"/>
          <w:szCs w:val="24"/>
        </w:rPr>
        <w:t>12.1</w:t>
      </w:r>
      <w:r>
        <w:rPr>
          <w:rFonts w:hint="eastAsia" w:hAnsi="宋体"/>
          <w:color w:val="auto"/>
        </w:rPr>
        <w:t>备选方案</w:t>
      </w:r>
      <w:r>
        <w:rPr>
          <w:rFonts w:hint="eastAsia" w:hAnsi="宋体"/>
          <w:color w:val="auto"/>
          <w:szCs w:val="24"/>
        </w:rPr>
        <w:t>应</w:t>
      </w:r>
      <w:r>
        <w:rPr>
          <w:rFonts w:hint="eastAsia" w:ascii="Times New Roman" w:hAnsi="Times New Roman"/>
          <w:color w:val="auto"/>
          <w:szCs w:val="24"/>
        </w:rPr>
        <w:t>符合《投标须知前附表》要求</w:t>
      </w:r>
      <w:r>
        <w:rPr>
          <w:rFonts w:hint="eastAsia" w:hAnsi="宋体"/>
          <w:color w:val="auto"/>
          <w:szCs w:val="24"/>
        </w:rPr>
        <w:t>。如</w:t>
      </w:r>
      <w:r>
        <w:rPr>
          <w:rFonts w:hint="eastAsia" w:hAnsi="宋体"/>
          <w:color w:val="auto"/>
          <w:kern w:val="0"/>
          <w:szCs w:val="24"/>
        </w:rPr>
        <w:t>只允许投标人有一个投标方案，否则</w:t>
      </w:r>
      <w:r>
        <w:rPr>
          <w:rFonts w:hint="eastAsia" w:hAnsi="宋体"/>
          <w:color w:val="auto"/>
          <w:szCs w:val="24"/>
        </w:rPr>
        <w:t>将被视为无效投标。</w:t>
      </w:r>
    </w:p>
    <w:p>
      <w:pPr>
        <w:pStyle w:val="25"/>
        <w:adjustRightInd w:val="0"/>
        <w:snapToGrid w:val="0"/>
        <w:spacing w:line="360" w:lineRule="auto"/>
        <w:ind w:left="422" w:leftChars="1" w:hanging="420" w:hangingChars="200"/>
        <w:rPr>
          <w:rFonts w:hAnsi="宋体"/>
          <w:color w:val="auto"/>
          <w:kern w:val="0"/>
          <w:szCs w:val="24"/>
        </w:rPr>
      </w:pPr>
      <w:r>
        <w:rPr>
          <w:rFonts w:hint="eastAsia" w:hAnsi="宋体"/>
          <w:color w:val="auto"/>
          <w:kern w:val="0"/>
          <w:szCs w:val="24"/>
        </w:rPr>
        <w:t>13. 联合体投标</w:t>
      </w:r>
    </w:p>
    <w:p>
      <w:pPr>
        <w:pStyle w:val="25"/>
        <w:adjustRightInd w:val="0"/>
        <w:snapToGrid w:val="0"/>
        <w:spacing w:line="360" w:lineRule="auto"/>
        <w:ind w:left="422" w:leftChars="1" w:hanging="420" w:hangingChars="200"/>
        <w:rPr>
          <w:rFonts w:hAnsi="宋体"/>
          <w:color w:val="auto"/>
          <w:kern w:val="0"/>
          <w:szCs w:val="24"/>
        </w:rPr>
      </w:pPr>
      <w:r>
        <w:rPr>
          <w:rFonts w:hint="eastAsia" w:hAnsi="宋体"/>
          <w:color w:val="auto"/>
          <w:kern w:val="0"/>
          <w:szCs w:val="24"/>
        </w:rPr>
        <w:t>13.1</w:t>
      </w:r>
      <w:r>
        <w:rPr>
          <w:rFonts w:hint="eastAsia"/>
          <w:color w:val="auto"/>
        </w:rPr>
        <w:t>如果《投标须知前附表》允许投标人为联合体，联合体各方均必须具有独立承担民事责任的能力。</w:t>
      </w:r>
      <w:r>
        <w:rPr>
          <w:rFonts w:hint="eastAsia" w:hAnsi="宋体"/>
          <w:color w:val="auto"/>
          <w:kern w:val="0"/>
          <w:szCs w:val="24"/>
        </w:rPr>
        <w:t>组成联合体投标的按政府采购的法律、法规、规章等有关规定执行。</w:t>
      </w:r>
    </w:p>
    <w:p>
      <w:pPr>
        <w:pStyle w:val="25"/>
        <w:adjustRightInd w:val="0"/>
        <w:snapToGrid w:val="0"/>
        <w:spacing w:line="360" w:lineRule="auto"/>
        <w:rPr>
          <w:rFonts w:hAnsi="宋体"/>
          <w:color w:val="auto"/>
          <w:szCs w:val="24"/>
        </w:rPr>
      </w:pPr>
      <w:r>
        <w:rPr>
          <w:rFonts w:hint="eastAsia" w:hAnsi="宋体"/>
          <w:color w:val="auto"/>
          <w:szCs w:val="24"/>
        </w:rPr>
        <w:t>14. 投标人相关证明文件</w:t>
      </w:r>
    </w:p>
    <w:p>
      <w:pPr>
        <w:autoSpaceDE w:val="0"/>
        <w:autoSpaceDN w:val="0"/>
        <w:adjustRightInd w:val="0"/>
        <w:snapToGrid w:val="0"/>
        <w:spacing w:line="360" w:lineRule="auto"/>
        <w:ind w:left="420" w:right="32" w:hanging="420"/>
        <w:rPr>
          <w:rFonts w:ascii="宋体" w:hAnsi="宋体"/>
          <w:color w:val="auto"/>
        </w:rPr>
      </w:pPr>
      <w:r>
        <w:rPr>
          <w:rFonts w:hint="eastAsia" w:ascii="宋体" w:hAnsi="宋体"/>
          <w:color w:val="auto"/>
        </w:rPr>
        <w:t>14.1投标人应按招标文件的要求，提交证明其有能力的文件，并作为其投标文件的组成部分，包括但不限于下列文件：</w:t>
      </w:r>
    </w:p>
    <w:p>
      <w:pPr>
        <w:pStyle w:val="4"/>
        <w:numPr>
          <w:ilvl w:val="1"/>
          <w:numId w:val="8"/>
        </w:numPr>
        <w:tabs>
          <w:tab w:val="left" w:pos="1080"/>
          <w:tab w:val="left" w:pos="1980"/>
        </w:tabs>
        <w:ind w:left="1980" w:hanging="1620"/>
        <w:rPr>
          <w:b w:val="0"/>
          <w:color w:val="auto"/>
          <w:kern w:val="0"/>
          <w:sz w:val="21"/>
        </w:rPr>
      </w:pPr>
      <w:r>
        <w:rPr>
          <w:rFonts w:hint="eastAsia"/>
          <w:b w:val="0"/>
          <w:color w:val="auto"/>
          <w:kern w:val="0"/>
          <w:sz w:val="21"/>
        </w:rPr>
        <w:t>投标人营业执照副本复印件；</w:t>
      </w:r>
    </w:p>
    <w:p>
      <w:pPr>
        <w:pStyle w:val="4"/>
        <w:numPr>
          <w:ilvl w:val="1"/>
          <w:numId w:val="8"/>
        </w:numPr>
        <w:tabs>
          <w:tab w:val="left" w:pos="1080"/>
          <w:tab w:val="left" w:pos="1980"/>
        </w:tabs>
        <w:ind w:left="1980" w:hanging="1620"/>
        <w:rPr>
          <w:b w:val="0"/>
          <w:color w:val="auto"/>
          <w:kern w:val="0"/>
          <w:sz w:val="21"/>
        </w:rPr>
      </w:pPr>
      <w:r>
        <w:rPr>
          <w:rFonts w:hint="eastAsia"/>
          <w:b w:val="0"/>
          <w:color w:val="auto"/>
          <w:kern w:val="0"/>
          <w:sz w:val="21"/>
        </w:rPr>
        <w:t>投标人的资格声明；</w:t>
      </w:r>
    </w:p>
    <w:p>
      <w:pPr>
        <w:pStyle w:val="4"/>
        <w:numPr>
          <w:ilvl w:val="1"/>
          <w:numId w:val="8"/>
        </w:numPr>
        <w:tabs>
          <w:tab w:val="left" w:pos="1080"/>
          <w:tab w:val="left" w:pos="1980"/>
        </w:tabs>
        <w:ind w:left="1080" w:hanging="720"/>
        <w:rPr>
          <w:b w:val="0"/>
          <w:color w:val="auto"/>
          <w:kern w:val="0"/>
          <w:sz w:val="21"/>
        </w:rPr>
      </w:pPr>
      <w:r>
        <w:rPr>
          <w:rFonts w:hint="eastAsia"/>
          <w:b w:val="0"/>
          <w:color w:val="auto"/>
          <w:kern w:val="0"/>
          <w:sz w:val="21"/>
        </w:rPr>
        <w:t>按《投标须知前附表》要求提供行政主管部门或协会授予的相关许可文件和其他资格证明文件；</w:t>
      </w:r>
    </w:p>
    <w:p>
      <w:pPr>
        <w:spacing w:line="360" w:lineRule="auto"/>
        <w:ind w:left="1113" w:leftChars="180" w:hanging="735" w:hangingChars="350"/>
        <w:rPr>
          <w:rFonts w:ascii="宋体" w:hAnsi="Courier New"/>
          <w:color w:val="auto"/>
          <w:kern w:val="2"/>
        </w:rPr>
      </w:pPr>
      <w:r>
        <w:rPr>
          <w:rFonts w:hint="eastAsia" w:ascii="宋体" w:hAnsi="Courier New"/>
          <w:color w:val="auto"/>
          <w:kern w:val="2"/>
        </w:rPr>
        <w:t>（4）  投标人必须具有健全稳定的组织机构，具备履行合同所需的人力、财力、物力和技术（包括设计、生产和服务等）能力；</w:t>
      </w:r>
    </w:p>
    <w:p>
      <w:pPr>
        <w:spacing w:line="360" w:lineRule="auto"/>
        <w:ind w:left="1113" w:leftChars="180" w:hanging="735" w:hangingChars="350"/>
        <w:rPr>
          <w:rFonts w:ascii="宋体" w:hAnsi="Courier New"/>
          <w:color w:val="auto"/>
          <w:kern w:val="2"/>
        </w:rPr>
      </w:pPr>
      <w:r>
        <w:rPr>
          <w:rFonts w:hint="eastAsia" w:ascii="宋体" w:hAnsi="Courier New"/>
          <w:color w:val="auto"/>
          <w:kern w:val="2"/>
        </w:rPr>
        <w:t>（5）</w:t>
      </w:r>
      <w:r>
        <w:rPr>
          <w:rFonts w:hint="eastAsia" w:ascii="宋体" w:hAnsi="Courier New"/>
          <w:color w:val="auto"/>
          <w:kern w:val="2"/>
        </w:rPr>
        <w:tab/>
      </w:r>
      <w:r>
        <w:rPr>
          <w:rFonts w:hint="eastAsia" w:ascii="宋体" w:hAnsi="Courier New"/>
          <w:color w:val="auto"/>
          <w:kern w:val="2"/>
        </w:rPr>
        <w:t>投标人按《投标须知前附表》规定提供类似服务的业绩，并按招标文件第六部分提供的格式填报已完成的类似项目清单；</w:t>
      </w:r>
    </w:p>
    <w:p>
      <w:pPr>
        <w:spacing w:line="360" w:lineRule="auto"/>
        <w:ind w:left="1113" w:leftChars="180" w:hanging="735" w:hangingChars="350"/>
        <w:rPr>
          <w:rFonts w:ascii="宋体" w:hAnsi="Courier New"/>
          <w:color w:val="auto"/>
          <w:kern w:val="2"/>
        </w:rPr>
      </w:pPr>
      <w:r>
        <w:rPr>
          <w:rFonts w:hint="eastAsia" w:ascii="宋体" w:hAnsi="Courier New"/>
          <w:color w:val="auto"/>
          <w:kern w:val="2"/>
        </w:rPr>
        <w:t>（6）</w:t>
      </w:r>
      <w:r>
        <w:rPr>
          <w:rFonts w:hint="eastAsia" w:ascii="宋体" w:hAnsi="Courier New"/>
          <w:color w:val="auto"/>
          <w:kern w:val="2"/>
        </w:rPr>
        <w:tab/>
      </w:r>
      <w:r>
        <w:rPr>
          <w:rFonts w:hint="eastAsia" w:ascii="宋体" w:hAnsi="Courier New"/>
          <w:color w:val="auto"/>
          <w:kern w:val="2"/>
        </w:rPr>
        <w:t>投标人按《投标须知前附表》规定提供由会计师事务所出具的审计报告及年度财务报表（包括资产负债表、损益表和现金流量表）；</w:t>
      </w:r>
    </w:p>
    <w:p>
      <w:pPr>
        <w:spacing w:line="360" w:lineRule="auto"/>
        <w:ind w:left="1113" w:leftChars="180" w:hanging="735" w:hangingChars="350"/>
        <w:rPr>
          <w:rFonts w:ascii="宋体" w:hAnsi="Courier New"/>
          <w:color w:val="auto"/>
          <w:kern w:val="2"/>
        </w:rPr>
      </w:pPr>
      <w:r>
        <w:rPr>
          <w:rFonts w:hint="eastAsia" w:ascii="宋体" w:hAnsi="Courier New"/>
          <w:color w:val="auto"/>
          <w:kern w:val="2"/>
        </w:rPr>
        <w:t>（7） 投标人应按《投标须知前附表》要求，提供有关证明其信誉、资格的文件复印件或其他证明文件（包括经过年审合格的税务登记证、有关资质等级证书等）；</w:t>
      </w:r>
    </w:p>
    <w:p>
      <w:pPr>
        <w:spacing w:line="360" w:lineRule="auto"/>
        <w:ind w:left="1113" w:leftChars="180" w:hanging="735" w:hangingChars="350"/>
        <w:rPr>
          <w:rFonts w:ascii="宋体" w:hAnsi="Courier New"/>
          <w:color w:val="auto"/>
          <w:kern w:val="2"/>
        </w:rPr>
      </w:pPr>
      <w:r>
        <w:rPr>
          <w:rFonts w:hint="eastAsia" w:ascii="宋体" w:hAnsi="Courier New"/>
          <w:color w:val="auto"/>
          <w:kern w:val="2"/>
        </w:rPr>
        <w:t>（8） 如果《投标须知前附表》允许、且投标人拟将本招标项目的非主体、非关键性工作交由他人完成（分包）的，投标人应在投标文件中载明，并按《投标须知前附表》的要求提交证明分包人合格的文件，且分包人不得再分包。如果投标人中标并将项目分包，其就分包项目向采购人负责，分包人就分包项目承担边带责任。</w:t>
      </w:r>
    </w:p>
    <w:p>
      <w:pPr>
        <w:pStyle w:val="25"/>
        <w:adjustRightInd w:val="0"/>
        <w:snapToGrid w:val="0"/>
        <w:spacing w:line="360" w:lineRule="auto"/>
        <w:ind w:left="420" w:hanging="420"/>
        <w:rPr>
          <w:rFonts w:hAnsi="宋体"/>
          <w:color w:val="auto"/>
          <w:szCs w:val="24"/>
        </w:rPr>
      </w:pPr>
      <w:r>
        <w:rPr>
          <w:rFonts w:hint="eastAsia" w:hAnsi="宋体"/>
          <w:color w:val="auto"/>
          <w:szCs w:val="24"/>
        </w:rPr>
        <w:t>14.2证明文件必须真实有效，复印件必须加盖单位公章。</w:t>
      </w:r>
    </w:p>
    <w:p>
      <w:pPr>
        <w:pStyle w:val="25"/>
        <w:adjustRightInd w:val="0"/>
        <w:snapToGrid w:val="0"/>
        <w:spacing w:line="360" w:lineRule="auto"/>
        <w:rPr>
          <w:rFonts w:hAnsi="宋体"/>
          <w:color w:val="auto"/>
          <w:szCs w:val="24"/>
        </w:rPr>
      </w:pPr>
      <w:r>
        <w:rPr>
          <w:rFonts w:hint="eastAsia" w:hAnsi="宋体"/>
          <w:color w:val="auto"/>
          <w:szCs w:val="24"/>
        </w:rPr>
        <w:t>15. 证明投标标的的合格性和符合招标文件规定的文件：</w:t>
      </w:r>
    </w:p>
    <w:p>
      <w:pPr>
        <w:pStyle w:val="25"/>
        <w:adjustRightInd w:val="0"/>
        <w:snapToGrid w:val="0"/>
        <w:spacing w:line="360" w:lineRule="auto"/>
        <w:ind w:left="420" w:hanging="420"/>
        <w:rPr>
          <w:rFonts w:hAnsi="宋体"/>
          <w:color w:val="auto"/>
          <w:szCs w:val="24"/>
        </w:rPr>
      </w:pPr>
      <w:r>
        <w:rPr>
          <w:rFonts w:hint="eastAsia" w:hAnsi="宋体"/>
          <w:color w:val="auto"/>
          <w:szCs w:val="24"/>
        </w:rPr>
        <w:t>15.1 证明服务与招标文件的要求相一致的文件，可以是文字资料、图纸、数据和实物，包括如下：</w:t>
      </w:r>
    </w:p>
    <w:p>
      <w:pPr>
        <w:pStyle w:val="25"/>
        <w:adjustRightInd w:val="0"/>
        <w:snapToGrid w:val="0"/>
        <w:spacing w:line="360" w:lineRule="auto"/>
        <w:ind w:left="945" w:leftChars="200" w:hanging="525" w:hangingChars="250"/>
        <w:rPr>
          <w:rFonts w:hAnsi="宋体"/>
          <w:color w:val="auto"/>
          <w:szCs w:val="24"/>
        </w:rPr>
      </w:pPr>
      <w:r>
        <w:rPr>
          <w:rFonts w:hint="eastAsia" w:hAnsi="宋体"/>
          <w:color w:val="auto"/>
          <w:szCs w:val="24"/>
        </w:rPr>
        <w:t>（1）服务的详细说明；</w:t>
      </w:r>
    </w:p>
    <w:p>
      <w:pPr>
        <w:pStyle w:val="25"/>
        <w:adjustRightInd w:val="0"/>
        <w:snapToGrid w:val="0"/>
        <w:spacing w:line="360" w:lineRule="auto"/>
        <w:ind w:left="945" w:leftChars="200" w:hanging="525" w:hangingChars="250"/>
        <w:rPr>
          <w:rFonts w:hAnsi="宋体"/>
          <w:color w:val="auto"/>
          <w:szCs w:val="24"/>
        </w:rPr>
      </w:pPr>
      <w:r>
        <w:rPr>
          <w:rFonts w:hint="eastAsia" w:hAnsi="宋体"/>
          <w:color w:val="auto"/>
          <w:szCs w:val="24"/>
        </w:rPr>
        <w:t>（2）详细的合同项下提供服务的执行时间表及其实施措施，明确标注出影响合同执行的关键时间及因素；</w:t>
      </w:r>
    </w:p>
    <w:p>
      <w:pPr>
        <w:pStyle w:val="25"/>
        <w:adjustRightInd w:val="0"/>
        <w:snapToGrid w:val="0"/>
        <w:spacing w:line="360" w:lineRule="auto"/>
        <w:ind w:left="945" w:leftChars="200" w:hanging="525" w:hangingChars="250"/>
        <w:rPr>
          <w:rFonts w:hAnsi="宋体"/>
          <w:color w:val="auto"/>
          <w:szCs w:val="24"/>
        </w:rPr>
      </w:pPr>
      <w:r>
        <w:rPr>
          <w:rFonts w:hint="eastAsia" w:hAnsi="宋体"/>
          <w:color w:val="auto"/>
          <w:szCs w:val="24"/>
        </w:rPr>
        <w:t>（3）对照招标文件要求的服务，投标人逐条说明所提供的服务已对招标文件中的服务要求作出了实质性的响应；或申明与招标文件规定条文的偏差和例外。</w:t>
      </w:r>
    </w:p>
    <w:p>
      <w:pPr>
        <w:pStyle w:val="25"/>
        <w:adjustRightInd w:val="0"/>
        <w:snapToGrid w:val="0"/>
        <w:spacing w:line="360" w:lineRule="auto"/>
        <w:ind w:left="420" w:hanging="420"/>
        <w:rPr>
          <w:rFonts w:hAnsi="宋体"/>
          <w:color w:val="auto"/>
          <w:szCs w:val="24"/>
        </w:rPr>
      </w:pPr>
      <w:r>
        <w:rPr>
          <w:rFonts w:hint="eastAsia" w:hAnsi="宋体"/>
          <w:color w:val="auto"/>
          <w:kern w:val="0"/>
          <w:szCs w:val="24"/>
        </w:rPr>
        <w:t>15.2在参加本次政府采购活动前三年内在经营活动中没有重大违法记录的证明</w:t>
      </w:r>
      <w:r>
        <w:rPr>
          <w:rFonts w:hint="eastAsia" w:hAnsi="宋体"/>
          <w:color w:val="auto"/>
          <w:szCs w:val="24"/>
        </w:rPr>
        <w:t>；</w:t>
      </w:r>
    </w:p>
    <w:p>
      <w:pPr>
        <w:autoSpaceDE w:val="0"/>
        <w:autoSpaceDN w:val="0"/>
        <w:adjustRightInd w:val="0"/>
        <w:snapToGrid w:val="0"/>
        <w:spacing w:line="360" w:lineRule="auto"/>
        <w:ind w:right="32"/>
        <w:rPr>
          <w:rFonts w:ascii="宋体" w:hAnsi="宋体"/>
          <w:color w:val="auto"/>
        </w:rPr>
      </w:pPr>
      <w:r>
        <w:rPr>
          <w:rFonts w:hint="eastAsia" w:ascii="宋体" w:hAnsi="宋体"/>
          <w:color w:val="auto"/>
        </w:rPr>
        <w:t>15.3 在核定的经营范围内报价；</w:t>
      </w:r>
    </w:p>
    <w:p>
      <w:pPr>
        <w:pStyle w:val="25"/>
        <w:adjustRightInd w:val="0"/>
        <w:snapToGrid w:val="0"/>
        <w:spacing w:line="360" w:lineRule="auto"/>
        <w:rPr>
          <w:rFonts w:hAnsi="宋体"/>
          <w:color w:val="auto"/>
          <w:szCs w:val="24"/>
        </w:rPr>
      </w:pPr>
      <w:r>
        <w:rPr>
          <w:rFonts w:hint="eastAsia" w:hAnsi="宋体"/>
          <w:color w:val="auto"/>
          <w:szCs w:val="24"/>
        </w:rPr>
        <w:t>16. 投标保证金</w:t>
      </w:r>
    </w:p>
    <w:p>
      <w:pPr>
        <w:numPr>
          <w:ilvl w:val="0"/>
          <w:numId w:val="9"/>
        </w:numPr>
        <w:tabs>
          <w:tab w:val="left" w:pos="720"/>
        </w:tabs>
        <w:spacing w:line="360" w:lineRule="auto"/>
        <w:ind w:left="720" w:hanging="720"/>
        <w:jc w:val="left"/>
        <w:rPr>
          <w:rFonts w:ascii="宋体" w:hAnsi="宋体"/>
        </w:rPr>
      </w:pPr>
      <w:r>
        <w:rPr>
          <w:rFonts w:hint="eastAsia" w:ascii="宋体" w:hAnsi="宋体"/>
        </w:rPr>
        <w:t>投标人应按招标文件规定的指定账户、金额和期限交纳投标保证金，投标保证金作为投标文件的组成部分。</w:t>
      </w:r>
    </w:p>
    <w:p>
      <w:pPr>
        <w:numPr>
          <w:ilvl w:val="0"/>
          <w:numId w:val="9"/>
        </w:numPr>
        <w:tabs>
          <w:tab w:val="left" w:pos="720"/>
        </w:tabs>
        <w:spacing w:line="360" w:lineRule="auto"/>
        <w:ind w:left="720" w:hanging="720"/>
        <w:jc w:val="left"/>
        <w:rPr>
          <w:rFonts w:ascii="宋体" w:hAnsi="宋体"/>
        </w:rPr>
      </w:pPr>
      <w:r>
        <w:rPr>
          <w:rFonts w:hint="eastAsia" w:ascii="宋体" w:hAnsi="宋体"/>
        </w:rPr>
        <w:t>投标保证金必须以转账方式递交从</w:t>
      </w:r>
      <w:r>
        <w:rPr>
          <w:rFonts w:hint="eastAsia" w:ascii="宋体" w:hAnsi="宋体"/>
          <w:b/>
          <w:bCs/>
        </w:rPr>
        <w:t>投标人基本账户</w:t>
      </w:r>
      <w:r>
        <w:rPr>
          <w:rFonts w:hint="eastAsia" w:ascii="宋体" w:hAnsi="宋体"/>
        </w:rPr>
        <w:t>汇出，不接受现金形式或者个人账户转账。</w:t>
      </w:r>
    </w:p>
    <w:p>
      <w:pPr>
        <w:numPr>
          <w:ilvl w:val="0"/>
          <w:numId w:val="9"/>
        </w:numPr>
        <w:tabs>
          <w:tab w:val="left" w:pos="720"/>
        </w:tabs>
        <w:spacing w:line="360" w:lineRule="auto"/>
        <w:ind w:left="720" w:hanging="720"/>
        <w:jc w:val="left"/>
        <w:rPr>
          <w:rFonts w:ascii="宋体" w:hAnsi="宋体"/>
        </w:rPr>
      </w:pPr>
      <w:r>
        <w:rPr>
          <w:rFonts w:hint="eastAsia" w:ascii="宋体" w:hAnsi="宋体"/>
        </w:rPr>
        <w:t>凡未按规定交纳投标保证金的投标，为无效投标。</w:t>
      </w:r>
    </w:p>
    <w:p>
      <w:pPr>
        <w:numPr>
          <w:ilvl w:val="0"/>
          <w:numId w:val="9"/>
        </w:numPr>
        <w:tabs>
          <w:tab w:val="left" w:pos="720"/>
        </w:tabs>
        <w:spacing w:line="360" w:lineRule="auto"/>
        <w:ind w:left="720" w:hanging="720"/>
        <w:jc w:val="left"/>
        <w:rPr>
          <w:rFonts w:ascii="宋体" w:hAnsi="宋体"/>
        </w:rPr>
      </w:pPr>
      <w:r>
        <w:rPr>
          <w:rFonts w:hint="eastAsia" w:ascii="宋体" w:hAnsi="宋体"/>
        </w:rPr>
        <w:t>如无质疑或投诉，未中标的投标人保证金，在中标通知书发出后五个工作日退还；如有质疑或投诉，将在质疑和投诉处理完毕后退还。</w:t>
      </w:r>
    </w:p>
    <w:p>
      <w:pPr>
        <w:numPr>
          <w:ilvl w:val="0"/>
          <w:numId w:val="9"/>
        </w:numPr>
        <w:tabs>
          <w:tab w:val="left" w:pos="720"/>
        </w:tabs>
        <w:spacing w:line="360" w:lineRule="auto"/>
        <w:ind w:left="720" w:hanging="720"/>
        <w:jc w:val="left"/>
        <w:rPr>
          <w:rFonts w:ascii="宋体" w:hAnsi="宋体"/>
        </w:rPr>
      </w:pPr>
      <w:r>
        <w:rPr>
          <w:rFonts w:hint="eastAsia" w:ascii="宋体" w:hAnsi="宋体"/>
        </w:rPr>
        <w:t>中标人的投标保证金，在中标人与采购人签订采购合同后5个工作日内退还。</w:t>
      </w:r>
    </w:p>
    <w:p>
      <w:pPr>
        <w:adjustRightInd w:val="0"/>
        <w:snapToGrid w:val="0"/>
        <w:spacing w:line="360" w:lineRule="auto"/>
        <w:ind w:left="420" w:right="-147" w:rightChars="-70" w:hanging="420"/>
        <w:rPr>
          <w:rFonts w:ascii="宋体" w:hAnsi="宋体"/>
          <w:color w:val="auto"/>
        </w:rPr>
      </w:pPr>
      <w:r>
        <w:rPr>
          <w:rFonts w:hint="eastAsia" w:ascii="宋体" w:hAnsi="宋体"/>
          <w:color w:val="auto"/>
        </w:rPr>
        <w:t>16.</w:t>
      </w:r>
      <w:r>
        <w:rPr>
          <w:rFonts w:hint="eastAsia" w:ascii="宋体" w:hAnsi="宋体"/>
          <w:color w:val="auto"/>
          <w:lang w:val="en-US" w:eastAsia="zh-CN"/>
        </w:rPr>
        <w:t>6</w:t>
      </w:r>
      <w:r>
        <w:rPr>
          <w:rFonts w:hint="eastAsia" w:ascii="宋体" w:hAnsi="宋体"/>
          <w:color w:val="auto"/>
        </w:rPr>
        <w:t>有下列情形之一的，投标保证金将被依法没收并上缴同级国库：</w:t>
      </w:r>
    </w:p>
    <w:p>
      <w:pPr>
        <w:tabs>
          <w:tab w:val="left" w:pos="735"/>
        </w:tabs>
        <w:adjustRightInd w:val="0"/>
        <w:snapToGrid w:val="0"/>
        <w:spacing w:line="360" w:lineRule="auto"/>
        <w:ind w:firstLine="420"/>
        <w:rPr>
          <w:rFonts w:ascii="宋体" w:hAnsi="宋体"/>
          <w:color w:val="auto"/>
        </w:rPr>
      </w:pPr>
      <w:r>
        <w:rPr>
          <w:rFonts w:hint="eastAsia" w:ascii="宋体"/>
          <w:color w:val="auto"/>
        </w:rPr>
        <w:t>（1）</w:t>
      </w:r>
      <w:r>
        <w:rPr>
          <w:rFonts w:hint="eastAsia" w:ascii="宋体" w:hAnsi="宋体"/>
          <w:color w:val="auto"/>
        </w:rPr>
        <w:t>中标后无正当理由放弃中标或不与采购人签订合同的；</w:t>
      </w:r>
    </w:p>
    <w:p>
      <w:pPr>
        <w:pStyle w:val="25"/>
        <w:adjustRightInd w:val="0"/>
        <w:snapToGrid w:val="0"/>
        <w:spacing w:line="360" w:lineRule="auto"/>
        <w:ind w:left="945" w:leftChars="200" w:hanging="525" w:hangingChars="250"/>
        <w:rPr>
          <w:rFonts w:hAnsi="宋体"/>
          <w:color w:val="auto"/>
          <w:szCs w:val="24"/>
        </w:rPr>
      </w:pPr>
      <w:r>
        <w:rPr>
          <w:rFonts w:hint="eastAsia"/>
          <w:color w:val="auto"/>
        </w:rPr>
        <w:t>（2）</w:t>
      </w:r>
      <w:r>
        <w:rPr>
          <w:rFonts w:hint="eastAsia" w:hAnsi="宋体"/>
          <w:color w:val="auto"/>
          <w:szCs w:val="24"/>
        </w:rPr>
        <w:t>将中标项目转让给他人，或者在投标文件中未说明，且未经采购人同意，违反招标文件规定，将中标项目分包给他人的。</w:t>
      </w:r>
    </w:p>
    <w:p>
      <w:pPr>
        <w:pStyle w:val="25"/>
        <w:adjustRightInd w:val="0"/>
        <w:snapToGrid w:val="0"/>
        <w:spacing w:line="360" w:lineRule="auto"/>
        <w:ind w:left="735" w:leftChars="200" w:hanging="315" w:hangingChars="150"/>
        <w:rPr>
          <w:rFonts w:hAnsi="宋体"/>
          <w:color w:val="auto"/>
          <w:szCs w:val="24"/>
        </w:rPr>
      </w:pPr>
      <w:r>
        <w:rPr>
          <w:rFonts w:hint="eastAsia"/>
          <w:color w:val="auto"/>
        </w:rPr>
        <w:t>（3）</w:t>
      </w:r>
      <w:r>
        <w:rPr>
          <w:rFonts w:hint="eastAsia" w:hAnsi="宋体" w:cs="宋体"/>
          <w:color w:val="auto"/>
          <w:szCs w:val="21"/>
        </w:rPr>
        <w:t>中标人未按本须知规定交纳招标代理服务费。</w:t>
      </w:r>
    </w:p>
    <w:p>
      <w:pPr>
        <w:tabs>
          <w:tab w:val="left" w:pos="8280"/>
        </w:tabs>
        <w:autoSpaceDE w:val="0"/>
        <w:autoSpaceDN w:val="0"/>
        <w:adjustRightInd w:val="0"/>
        <w:snapToGrid w:val="0"/>
        <w:spacing w:line="360" w:lineRule="auto"/>
        <w:ind w:left="420" w:right="32" w:hanging="420" w:hangingChars="200"/>
        <w:rPr>
          <w:rFonts w:ascii="宋体" w:hAnsi="宋体"/>
          <w:color w:val="auto"/>
        </w:rPr>
      </w:pPr>
      <w:r>
        <w:rPr>
          <w:rFonts w:hint="eastAsia" w:ascii="宋体" w:hAnsi="宋体"/>
          <w:color w:val="auto"/>
        </w:rPr>
        <w:t>17. 投标的截止期、投标有效期</w:t>
      </w:r>
    </w:p>
    <w:p>
      <w:pPr>
        <w:tabs>
          <w:tab w:val="left" w:pos="8280"/>
        </w:tabs>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17.1 投标的截止时间为《投标须知前附表》规定时间，在截止时间后送达或者未送达指定地点的投标文件，为无效投标文件，</w:t>
      </w:r>
      <w:r>
        <w:rPr>
          <w:rFonts w:hint="eastAsia" w:ascii="宋体" w:hAnsi="宋体"/>
          <w:color w:val="auto"/>
          <w:szCs w:val="24"/>
        </w:rPr>
        <w:t>政府采购代理机构</w:t>
      </w:r>
      <w:r>
        <w:rPr>
          <w:rFonts w:hint="eastAsia" w:ascii="宋体" w:hAnsi="宋体"/>
          <w:color w:val="auto"/>
        </w:rPr>
        <w:t>将拒收。</w:t>
      </w:r>
    </w:p>
    <w:p>
      <w:pPr>
        <w:tabs>
          <w:tab w:val="left" w:pos="8280"/>
        </w:tabs>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17.2 从投标截止日起，投标有效期为《投标须知前附表》规定天数。在特殊情况下，政府采购代理机构可于投标有效期满之前要求投标人同意延长有效期，要求与答复均应以书面形式。投标人可以拒绝上述要求而其投标保证金不被没收，同意延期的投标人在原投标有效期内应享之权利及应负之责任也相应延续。</w:t>
      </w:r>
    </w:p>
    <w:p>
      <w:pPr>
        <w:autoSpaceDE w:val="0"/>
        <w:autoSpaceDN w:val="0"/>
        <w:adjustRightInd w:val="0"/>
        <w:snapToGrid w:val="0"/>
        <w:spacing w:line="360" w:lineRule="auto"/>
        <w:ind w:left="420" w:right="32" w:hanging="420" w:hangingChars="200"/>
        <w:rPr>
          <w:rFonts w:ascii="宋体" w:hAnsi="宋体"/>
          <w:color w:val="auto"/>
        </w:rPr>
      </w:pPr>
      <w:r>
        <w:rPr>
          <w:rFonts w:hint="eastAsia" w:ascii="宋体" w:hAnsi="宋体"/>
          <w:color w:val="auto"/>
        </w:rPr>
        <w:t>18. 投标文件的数量和签署</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18.1 投标人应编制投标文件的数量见《投标须知前附表》规定，投标文件的副本可采用正本的复印件。每套投标文件须清楚地标明“正本”、“副本”。若副本与正本不符，以正本为准。</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18.2 投标文件的正本需打印或用不褪色墨水书写，并由法定代表人或经其正式授权的代表签字。授权代表须出具书面授权证明，其《法定代表人授权书》应附在投标文件中。</w:t>
      </w:r>
    </w:p>
    <w:p>
      <w:pPr>
        <w:pStyle w:val="25"/>
        <w:adjustRightInd w:val="0"/>
        <w:snapToGrid w:val="0"/>
        <w:spacing w:line="360" w:lineRule="auto"/>
        <w:ind w:left="473" w:hanging="472" w:hangingChars="225"/>
        <w:rPr>
          <w:rFonts w:hAnsi="宋体"/>
          <w:color w:val="auto"/>
          <w:kern w:val="0"/>
          <w:szCs w:val="24"/>
        </w:rPr>
      </w:pPr>
      <w:r>
        <w:rPr>
          <w:rFonts w:hint="eastAsia" w:hAnsi="宋体"/>
          <w:color w:val="auto"/>
          <w:kern w:val="0"/>
          <w:szCs w:val="24"/>
        </w:rPr>
        <w:t>18.3 投标文件中的任何重要的插字、涂改和增删，必须由法定代表人或经其正式授权的代表在旁边签名章或签字才有效。</w:t>
      </w:r>
    </w:p>
    <w:p>
      <w:pPr>
        <w:pStyle w:val="25"/>
        <w:adjustRightInd w:val="0"/>
        <w:snapToGrid w:val="0"/>
        <w:spacing w:line="360" w:lineRule="auto"/>
        <w:ind w:left="473" w:hanging="472" w:hangingChars="225"/>
        <w:rPr>
          <w:rFonts w:hAnsi="宋体"/>
          <w:color w:val="auto"/>
          <w:kern w:val="0"/>
          <w:szCs w:val="24"/>
        </w:rPr>
      </w:pPr>
      <w:r>
        <w:rPr>
          <w:rFonts w:hint="eastAsia" w:hAnsi="宋体"/>
          <w:color w:val="auto"/>
          <w:kern w:val="0"/>
          <w:szCs w:val="24"/>
        </w:rPr>
        <w:t>18.4 若为联合体的，除“联合体协议书”及“法定代表人授权委托书”外，投标文件的其它内容可由联合体主办方进行签署即</w:t>
      </w:r>
      <w:r>
        <w:rPr>
          <w:rFonts w:hint="eastAsia" w:hAnsi="宋体"/>
          <w:color w:val="auto"/>
        </w:rPr>
        <w:t>可。</w:t>
      </w:r>
    </w:p>
    <w:p>
      <w:pPr>
        <w:autoSpaceDE w:val="0"/>
        <w:autoSpaceDN w:val="0"/>
        <w:adjustRightInd w:val="0"/>
        <w:snapToGrid w:val="0"/>
        <w:spacing w:line="360" w:lineRule="auto"/>
        <w:ind w:left="422" w:right="32" w:hanging="422" w:hangingChars="200"/>
        <w:rPr>
          <w:b/>
          <w:color w:val="auto"/>
        </w:rPr>
      </w:pPr>
      <w:r>
        <w:rPr>
          <w:rFonts w:hint="eastAsia"/>
          <w:b/>
          <w:color w:val="auto"/>
        </w:rPr>
        <w:t>四、投标文件的递交</w:t>
      </w:r>
    </w:p>
    <w:p>
      <w:pPr>
        <w:autoSpaceDE w:val="0"/>
        <w:autoSpaceDN w:val="0"/>
        <w:adjustRightInd w:val="0"/>
        <w:snapToGrid w:val="0"/>
        <w:spacing w:line="360" w:lineRule="auto"/>
        <w:ind w:left="420" w:right="32" w:hanging="420" w:hangingChars="200"/>
        <w:rPr>
          <w:rFonts w:ascii="宋体" w:hAnsi="宋体"/>
          <w:color w:val="auto"/>
        </w:rPr>
      </w:pPr>
      <w:r>
        <w:rPr>
          <w:rFonts w:hint="eastAsia" w:ascii="宋体" w:hAnsi="宋体"/>
          <w:color w:val="auto"/>
        </w:rPr>
        <w:t>19. 投标文件的密封和标记</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19.1投标人应将投标文件正本和所有的副本分别单独密封包装，并在外包装上清晰标明“正本”、“副本”字样。</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19.2 信封或外包装上应当注明采购项目名称、采购项目编号和“在（《投标须知前附表》中规定的</w:t>
      </w:r>
      <w:r>
        <w:rPr>
          <w:rFonts w:hint="eastAsia" w:ascii="宋体" w:hAnsi="宋体"/>
          <w:iCs/>
          <w:color w:val="auto"/>
        </w:rPr>
        <w:t>开标日期和时点）</w:t>
      </w:r>
      <w:r>
        <w:rPr>
          <w:rFonts w:hint="eastAsia" w:ascii="宋体" w:hAnsi="宋体"/>
          <w:color w:val="auto"/>
        </w:rPr>
        <w:t>之前不得启封”的字样，封口处应加盖投标人印章。</w:t>
      </w:r>
    </w:p>
    <w:p>
      <w:pPr>
        <w:pStyle w:val="25"/>
        <w:adjustRightInd w:val="0"/>
        <w:snapToGrid w:val="0"/>
        <w:spacing w:line="360" w:lineRule="auto"/>
        <w:ind w:left="473" w:right="32" w:hanging="472" w:hangingChars="225"/>
        <w:rPr>
          <w:rFonts w:hAnsi="宋体"/>
          <w:color w:val="auto"/>
          <w:szCs w:val="24"/>
        </w:rPr>
      </w:pPr>
      <w:r>
        <w:rPr>
          <w:rFonts w:hint="eastAsia" w:hAnsi="宋体"/>
          <w:color w:val="auto"/>
          <w:kern w:val="0"/>
          <w:szCs w:val="24"/>
        </w:rPr>
        <w:t>19.3如果未按要求密封和标记，</w:t>
      </w:r>
      <w:r>
        <w:rPr>
          <w:rFonts w:hint="eastAsia" w:hAnsi="宋体"/>
          <w:color w:val="auto"/>
          <w:szCs w:val="24"/>
        </w:rPr>
        <w:t>政府采购代理机构</w:t>
      </w:r>
      <w:r>
        <w:rPr>
          <w:rFonts w:hint="eastAsia" w:hAnsi="宋体"/>
          <w:color w:val="auto"/>
          <w:kern w:val="0"/>
          <w:szCs w:val="24"/>
        </w:rPr>
        <w:t>对误投或提前启封概不负责。</w:t>
      </w:r>
    </w:p>
    <w:p>
      <w:pPr>
        <w:pStyle w:val="25"/>
        <w:adjustRightInd w:val="0"/>
        <w:snapToGrid w:val="0"/>
        <w:spacing w:line="360" w:lineRule="auto"/>
        <w:ind w:right="32"/>
        <w:rPr>
          <w:rFonts w:hAnsi="宋体"/>
          <w:color w:val="auto"/>
          <w:szCs w:val="24"/>
        </w:rPr>
      </w:pPr>
      <w:r>
        <w:rPr>
          <w:rFonts w:hint="eastAsia" w:hAnsi="宋体"/>
          <w:color w:val="auto"/>
          <w:szCs w:val="24"/>
        </w:rPr>
        <w:t>20. 投标文件的修改和撤回。</w:t>
      </w:r>
    </w:p>
    <w:p>
      <w:pPr>
        <w:pStyle w:val="25"/>
        <w:adjustRightInd w:val="0"/>
        <w:snapToGrid w:val="0"/>
        <w:spacing w:line="360" w:lineRule="auto"/>
        <w:ind w:left="473" w:right="32" w:hanging="472" w:hangingChars="225"/>
        <w:rPr>
          <w:rFonts w:hAnsi="宋体"/>
          <w:color w:val="auto"/>
          <w:kern w:val="0"/>
        </w:rPr>
      </w:pPr>
      <w:r>
        <w:rPr>
          <w:rFonts w:hint="eastAsia" w:hAnsi="宋体"/>
          <w:color w:val="auto"/>
          <w:kern w:val="0"/>
        </w:rPr>
        <w:t>20.1</w:t>
      </w:r>
      <w:r>
        <w:rPr>
          <w:rFonts w:hint="eastAsia" w:hAnsi="宋体"/>
          <w:color w:val="auto"/>
        </w:rPr>
        <w:t>投标人在投标截止时间前，可以对所递交的投标文件进行补充、修改或者撤回，并书面通知政府采购代理机构。补充、修改的内容应当按招标文件要求签署、盖章，并作为投标文件的组成部分。</w:t>
      </w:r>
      <w:r>
        <w:rPr>
          <w:rFonts w:hint="eastAsia" w:hAnsi="宋体"/>
          <w:color w:val="auto"/>
          <w:kern w:val="0"/>
        </w:rPr>
        <w:t>在投标截止时点之后，投标人不得对其投标文件做任何修改和补充。</w:t>
      </w:r>
    </w:p>
    <w:p>
      <w:pPr>
        <w:autoSpaceDE w:val="0"/>
        <w:autoSpaceDN w:val="0"/>
        <w:adjustRightInd w:val="0"/>
        <w:snapToGrid w:val="0"/>
        <w:spacing w:before="3" w:line="360" w:lineRule="auto"/>
        <w:ind w:left="525" w:right="32" w:hanging="525" w:hangingChars="250"/>
        <w:rPr>
          <w:rFonts w:ascii="宋体" w:hAnsi="宋体"/>
          <w:color w:val="auto"/>
        </w:rPr>
      </w:pPr>
      <w:r>
        <w:rPr>
          <w:rFonts w:hint="eastAsia" w:ascii="宋体" w:hAnsi="宋体"/>
          <w:color w:val="auto"/>
        </w:rPr>
        <w:t>20.2 投标人在递交投标文件后，可以撤回其投标，但投标人必须在规定的投标截止时点前以书面形式告知政府采购代理机构。</w:t>
      </w:r>
    </w:p>
    <w:p>
      <w:pPr>
        <w:pStyle w:val="25"/>
        <w:adjustRightInd w:val="0"/>
        <w:snapToGrid w:val="0"/>
        <w:spacing w:line="360" w:lineRule="auto"/>
        <w:ind w:left="420" w:right="32" w:hanging="420"/>
        <w:rPr>
          <w:rFonts w:ascii="Times New Roman" w:hAnsi="Times New Roman"/>
          <w:color w:val="auto"/>
          <w:szCs w:val="24"/>
        </w:rPr>
      </w:pPr>
      <w:r>
        <w:rPr>
          <w:rFonts w:hint="eastAsia" w:hAnsi="宋体"/>
          <w:color w:val="auto"/>
          <w:szCs w:val="24"/>
        </w:rPr>
        <w:t>20.3 投标人所提交的投标文件在评标结束后，无论中标与否都不退还</w:t>
      </w:r>
      <w:r>
        <w:rPr>
          <w:rFonts w:hint="eastAsia" w:ascii="Times New Roman" w:hAnsi="Times New Roman"/>
          <w:color w:val="auto"/>
          <w:szCs w:val="24"/>
        </w:rPr>
        <w:t>。</w:t>
      </w:r>
    </w:p>
    <w:p>
      <w:pPr>
        <w:pStyle w:val="25"/>
        <w:adjustRightInd w:val="0"/>
        <w:snapToGrid w:val="0"/>
        <w:spacing w:line="360" w:lineRule="auto"/>
        <w:rPr>
          <w:rFonts w:ascii="Times New Roman" w:hAnsi="Times New Roman"/>
          <w:b/>
          <w:color w:val="auto"/>
          <w:szCs w:val="24"/>
        </w:rPr>
      </w:pPr>
      <w:r>
        <w:rPr>
          <w:rFonts w:hint="eastAsia" w:ascii="Times New Roman" w:hAnsi="Times New Roman"/>
          <w:b/>
          <w:color w:val="auto"/>
          <w:szCs w:val="24"/>
        </w:rPr>
        <w:t>五、开标、评标定标</w:t>
      </w:r>
    </w:p>
    <w:p>
      <w:pPr>
        <w:pStyle w:val="25"/>
        <w:adjustRightInd w:val="0"/>
        <w:snapToGrid w:val="0"/>
        <w:spacing w:line="360" w:lineRule="auto"/>
        <w:ind w:left="420" w:hanging="420" w:hangingChars="200"/>
        <w:rPr>
          <w:rFonts w:hAnsi="宋体"/>
          <w:color w:val="auto"/>
          <w:szCs w:val="24"/>
        </w:rPr>
      </w:pPr>
      <w:r>
        <w:rPr>
          <w:rFonts w:hint="eastAsia" w:hAnsi="宋体"/>
          <w:color w:val="auto"/>
          <w:szCs w:val="24"/>
        </w:rPr>
        <w:t>21. 开标</w:t>
      </w:r>
    </w:p>
    <w:p>
      <w:pPr>
        <w:tabs>
          <w:tab w:val="left" w:pos="840"/>
        </w:tabs>
        <w:adjustRightInd w:val="0"/>
        <w:snapToGrid w:val="0"/>
        <w:spacing w:line="360" w:lineRule="auto"/>
        <w:ind w:left="473" w:hanging="472" w:hangingChars="225"/>
        <w:rPr>
          <w:rFonts w:ascii="宋体" w:hAnsi="宋体"/>
          <w:color w:val="auto"/>
        </w:rPr>
      </w:pPr>
      <w:r>
        <w:rPr>
          <w:rFonts w:hint="eastAsia" w:ascii="宋体" w:hAnsi="宋体"/>
          <w:color w:val="auto"/>
        </w:rPr>
        <w:t>21.1 政府采购代理机构在《投标邀请书》中规定的日期、时间和地点组织公开开标。开标时原则上应当有采购人代表和投标人代表参加。参加开标的代表应签到以证明其出席。</w:t>
      </w:r>
    </w:p>
    <w:p>
      <w:pPr>
        <w:pStyle w:val="25"/>
        <w:adjustRightInd w:val="0"/>
        <w:snapToGrid w:val="0"/>
        <w:spacing w:line="360" w:lineRule="auto"/>
        <w:ind w:left="474" w:leftChars="1" w:hanging="472" w:hangingChars="225"/>
        <w:rPr>
          <w:rFonts w:hAnsi="宋体"/>
          <w:color w:val="auto"/>
          <w:szCs w:val="24"/>
        </w:rPr>
      </w:pPr>
      <w:r>
        <w:rPr>
          <w:rFonts w:hint="eastAsia" w:hAnsi="宋体"/>
          <w:color w:val="auto"/>
          <w:szCs w:val="24"/>
        </w:rPr>
        <w:t>21.2开标时，由投标人或其推选的代表检查投标文件的密封情况，也可以由采购人委托的机构检查并见证，经确认无误后由招标工作人员当众拆封，宣读投标人名称、投标价格、价格折扣、投标文件的其他主要内容和招标文件允许提供的备选投标方案。</w:t>
      </w:r>
    </w:p>
    <w:p>
      <w:pPr>
        <w:pStyle w:val="25"/>
        <w:adjustRightInd w:val="0"/>
        <w:snapToGrid w:val="0"/>
        <w:spacing w:line="360" w:lineRule="auto"/>
        <w:ind w:left="474" w:leftChars="1" w:hanging="472" w:hangingChars="225"/>
        <w:rPr>
          <w:rFonts w:hAnsi="宋体"/>
          <w:color w:val="auto"/>
          <w:szCs w:val="24"/>
        </w:rPr>
      </w:pPr>
      <w:r>
        <w:rPr>
          <w:rFonts w:hint="eastAsia" w:hAnsi="宋体"/>
          <w:color w:val="auto"/>
          <w:kern w:val="0"/>
          <w:szCs w:val="24"/>
        </w:rPr>
        <w:t xml:space="preserve">21.3 </w:t>
      </w:r>
      <w:r>
        <w:rPr>
          <w:rFonts w:hint="eastAsia" w:hAnsi="宋体"/>
          <w:color w:val="auto"/>
          <w:szCs w:val="24"/>
        </w:rPr>
        <w:t>政府采购代理机构</w:t>
      </w:r>
      <w:r>
        <w:rPr>
          <w:rFonts w:hint="eastAsia" w:hAnsi="宋体"/>
          <w:color w:val="auto"/>
          <w:kern w:val="0"/>
          <w:szCs w:val="24"/>
        </w:rPr>
        <w:t>做好开标记录，开标记录由</w:t>
      </w:r>
      <w:r>
        <w:rPr>
          <w:rFonts w:hint="eastAsia" w:hAnsi="宋体"/>
          <w:color w:val="auto"/>
          <w:szCs w:val="24"/>
        </w:rPr>
        <w:t>各投标人签字确认</w:t>
      </w:r>
      <w:r>
        <w:rPr>
          <w:rFonts w:hint="eastAsia" w:hAnsi="宋体"/>
          <w:color w:val="auto"/>
          <w:kern w:val="0"/>
          <w:szCs w:val="24"/>
        </w:rPr>
        <w:t>。</w:t>
      </w:r>
    </w:p>
    <w:p>
      <w:pPr>
        <w:pStyle w:val="25"/>
        <w:adjustRightInd w:val="0"/>
        <w:snapToGrid w:val="0"/>
        <w:spacing w:line="360" w:lineRule="auto"/>
        <w:rPr>
          <w:rFonts w:hAnsi="宋体"/>
          <w:color w:val="auto"/>
          <w:szCs w:val="24"/>
        </w:rPr>
      </w:pPr>
      <w:r>
        <w:rPr>
          <w:rFonts w:hint="eastAsia" w:hAnsi="宋体"/>
          <w:color w:val="auto"/>
          <w:szCs w:val="24"/>
        </w:rPr>
        <w:t>22. 评标委员会的组成和评标方法</w:t>
      </w:r>
    </w:p>
    <w:p>
      <w:pPr>
        <w:pStyle w:val="25"/>
        <w:adjustRightInd w:val="0"/>
        <w:snapToGrid w:val="0"/>
        <w:spacing w:line="360" w:lineRule="auto"/>
        <w:ind w:left="474" w:leftChars="1" w:hanging="472" w:hangingChars="225"/>
        <w:rPr>
          <w:rFonts w:hAnsi="宋体"/>
          <w:color w:val="auto"/>
          <w:szCs w:val="24"/>
        </w:rPr>
      </w:pPr>
      <w:r>
        <w:rPr>
          <w:rFonts w:hint="eastAsia" w:hAnsi="宋体"/>
          <w:color w:val="auto"/>
          <w:szCs w:val="24"/>
        </w:rPr>
        <w:t>22.1 评标由采购人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机抽取。</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22.2 评标委员会将按照招标文件确定的评标方法进行评标。评标委员会对投标文件的评审分为资格性审查、符合性检查和商务评审、技术评审、价格评分。</w:t>
      </w:r>
    </w:p>
    <w:p>
      <w:pPr>
        <w:pStyle w:val="25"/>
        <w:adjustRightInd w:val="0"/>
        <w:snapToGrid w:val="0"/>
        <w:spacing w:line="360" w:lineRule="auto"/>
        <w:ind w:left="420" w:hanging="420"/>
        <w:rPr>
          <w:rFonts w:hAnsi="宋体"/>
          <w:color w:val="auto"/>
          <w:kern w:val="0"/>
          <w:szCs w:val="24"/>
        </w:rPr>
      </w:pPr>
      <w:r>
        <w:rPr>
          <w:rFonts w:hint="eastAsia" w:hAnsi="宋体"/>
          <w:color w:val="auto"/>
          <w:kern w:val="0"/>
          <w:szCs w:val="24"/>
        </w:rPr>
        <w:t>22.3 本次评标采用</w:t>
      </w:r>
      <w:r>
        <w:rPr>
          <w:rFonts w:hint="eastAsia" w:hAnsi="宋体"/>
          <w:color w:val="auto"/>
        </w:rPr>
        <w:t>《投标须知前附表》中选定的</w:t>
      </w:r>
      <w:r>
        <w:rPr>
          <w:rFonts w:hint="eastAsia" w:hAnsi="宋体"/>
          <w:color w:val="auto"/>
          <w:kern w:val="0"/>
          <w:szCs w:val="24"/>
        </w:rPr>
        <w:t>方法，具体见</w:t>
      </w:r>
      <w:r>
        <w:rPr>
          <w:rFonts w:hint="eastAsia" w:hAnsi="宋体"/>
          <w:color w:val="auto"/>
        </w:rPr>
        <w:t>招标文件第四部分</w:t>
      </w:r>
      <w:r>
        <w:rPr>
          <w:rFonts w:hint="eastAsia" w:hAnsi="宋体"/>
          <w:color w:val="auto"/>
          <w:kern w:val="0"/>
          <w:szCs w:val="24"/>
        </w:rPr>
        <w:t>“评标方法”。</w:t>
      </w:r>
    </w:p>
    <w:p>
      <w:pPr>
        <w:pStyle w:val="25"/>
        <w:adjustRightInd w:val="0"/>
        <w:snapToGrid w:val="0"/>
        <w:spacing w:line="360" w:lineRule="auto"/>
        <w:rPr>
          <w:rFonts w:hAnsi="宋体"/>
          <w:color w:val="auto"/>
          <w:szCs w:val="24"/>
        </w:rPr>
      </w:pPr>
      <w:r>
        <w:rPr>
          <w:rFonts w:hint="eastAsia" w:hAnsi="宋体"/>
          <w:color w:val="auto"/>
          <w:szCs w:val="24"/>
        </w:rPr>
        <w:t>23. 投标文件的初审</w:t>
      </w:r>
    </w:p>
    <w:p>
      <w:pPr>
        <w:pStyle w:val="25"/>
        <w:adjustRightInd w:val="0"/>
        <w:snapToGrid w:val="0"/>
        <w:spacing w:line="360" w:lineRule="auto"/>
        <w:ind w:left="473" w:hanging="472" w:hangingChars="225"/>
        <w:rPr>
          <w:rFonts w:hAnsi="宋体"/>
          <w:color w:val="auto"/>
          <w:kern w:val="0"/>
          <w:szCs w:val="24"/>
        </w:rPr>
      </w:pPr>
      <w:r>
        <w:rPr>
          <w:rFonts w:hint="eastAsia" w:hAnsi="宋体"/>
          <w:color w:val="auto"/>
          <w:kern w:val="0"/>
          <w:szCs w:val="24"/>
        </w:rPr>
        <w:t>23.1 评标委员会将依法审查投标文件是否完整、总体编排是否有序、文件签署是否合格、投标人是否提交了投标保证金、是否按招标文件的规定密封和标记等。</w:t>
      </w:r>
    </w:p>
    <w:p>
      <w:pPr>
        <w:pStyle w:val="25"/>
        <w:adjustRightInd w:val="0"/>
        <w:snapToGrid w:val="0"/>
        <w:spacing w:line="360" w:lineRule="auto"/>
        <w:ind w:left="473" w:hanging="472" w:hangingChars="225"/>
        <w:rPr>
          <w:rFonts w:hAnsi="宋体"/>
          <w:color w:val="auto"/>
          <w:kern w:val="0"/>
          <w:szCs w:val="24"/>
        </w:rPr>
      </w:pPr>
      <w:r>
        <w:rPr>
          <w:rFonts w:hint="eastAsia" w:hAnsi="宋体"/>
          <w:color w:val="auto"/>
          <w:kern w:val="0"/>
          <w:szCs w:val="24"/>
        </w:rPr>
        <w:t>23.2 评标委员会对大小写金额不一致、单价汇总与总价不一致的，按以下方法更正：</w:t>
      </w:r>
      <w:r>
        <w:rPr>
          <w:rFonts w:hint="eastAsia" w:hAnsi="宋体"/>
          <w:color w:val="auto"/>
          <w:szCs w:val="24"/>
        </w:rPr>
        <w:t>投标文件的大写金额和小写金额不一致的，以大写金额为准；总价金额与按单价汇总金额不一致的，以单价金额计算结果为准；单价金额小数点有明显错位的，应以总价为准，并修改单价。</w:t>
      </w:r>
      <w:r>
        <w:rPr>
          <w:rFonts w:hint="eastAsia" w:hAnsi="宋体"/>
          <w:color w:val="auto"/>
          <w:kern w:val="0"/>
          <w:szCs w:val="24"/>
        </w:rPr>
        <w:t>如果投标人不接受对其错误的更正，其投标将被视为无效投标或确定为投标无效。</w:t>
      </w:r>
    </w:p>
    <w:p>
      <w:pPr>
        <w:tabs>
          <w:tab w:val="left" w:pos="8280"/>
        </w:tabs>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23.3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pPr>
        <w:tabs>
          <w:tab w:val="left" w:pos="8280"/>
        </w:tabs>
        <w:autoSpaceDE w:val="0"/>
        <w:autoSpaceDN w:val="0"/>
        <w:adjustRightInd w:val="0"/>
        <w:snapToGrid w:val="0"/>
        <w:spacing w:line="360" w:lineRule="auto"/>
        <w:ind w:left="420" w:right="32" w:hanging="420"/>
        <w:rPr>
          <w:rFonts w:ascii="宋体" w:hAnsi="宋体"/>
          <w:color w:val="auto"/>
        </w:rPr>
      </w:pPr>
      <w:r>
        <w:rPr>
          <w:rFonts w:hint="eastAsia" w:ascii="宋体" w:hAnsi="宋体"/>
          <w:color w:val="auto"/>
        </w:rPr>
        <w:t>23.4 投标人有下列情形之一的，其投标将被视为无效投标：</w:t>
      </w:r>
    </w:p>
    <w:p>
      <w:pPr>
        <w:autoSpaceDE w:val="0"/>
        <w:autoSpaceDN w:val="0"/>
        <w:adjustRightInd w:val="0"/>
        <w:snapToGrid w:val="0"/>
        <w:spacing w:line="360" w:lineRule="auto"/>
        <w:ind w:left="700" w:right="32" w:hanging="280"/>
        <w:rPr>
          <w:rFonts w:ascii="宋体" w:hAnsi="宋体"/>
          <w:color w:val="auto"/>
        </w:rPr>
      </w:pPr>
      <w:r>
        <w:rPr>
          <w:rFonts w:hint="eastAsia" w:ascii="宋体" w:hAnsi="宋体"/>
          <w:color w:val="auto"/>
        </w:rPr>
        <w:t>1）</w:t>
      </w:r>
      <w:r>
        <w:rPr>
          <w:rFonts w:hint="eastAsia"/>
          <w:color w:val="auto"/>
        </w:rPr>
        <w:t>应交未交投标保证金的</w:t>
      </w:r>
      <w:r>
        <w:rPr>
          <w:rFonts w:hint="eastAsia" w:ascii="宋体" w:hAnsi="宋体"/>
          <w:color w:val="auto"/>
        </w:rPr>
        <w:t>；</w:t>
      </w:r>
    </w:p>
    <w:p>
      <w:pPr>
        <w:autoSpaceDE w:val="0"/>
        <w:autoSpaceDN w:val="0"/>
        <w:adjustRightInd w:val="0"/>
        <w:snapToGrid w:val="0"/>
        <w:spacing w:line="360" w:lineRule="auto"/>
        <w:ind w:left="700" w:right="32" w:hanging="280"/>
        <w:rPr>
          <w:rFonts w:ascii="宋体" w:hAnsi="宋体"/>
          <w:color w:val="auto"/>
        </w:rPr>
      </w:pPr>
      <w:r>
        <w:rPr>
          <w:rFonts w:hint="eastAsia" w:ascii="宋体" w:hAnsi="宋体"/>
          <w:color w:val="auto"/>
        </w:rPr>
        <w:t>2）</w:t>
      </w:r>
      <w:r>
        <w:rPr>
          <w:rFonts w:hint="eastAsia"/>
          <w:color w:val="auto"/>
        </w:rPr>
        <w:t>未按照招标文件规定要求密封、签署、盖章的</w:t>
      </w:r>
      <w:r>
        <w:rPr>
          <w:rFonts w:hint="eastAsia" w:ascii="宋体" w:hAnsi="宋体"/>
          <w:color w:val="auto"/>
        </w:rPr>
        <w:t>；</w:t>
      </w:r>
    </w:p>
    <w:p>
      <w:pPr>
        <w:autoSpaceDE w:val="0"/>
        <w:autoSpaceDN w:val="0"/>
        <w:adjustRightInd w:val="0"/>
        <w:snapToGrid w:val="0"/>
        <w:spacing w:line="360" w:lineRule="auto"/>
        <w:ind w:left="700" w:right="32" w:hanging="280"/>
        <w:rPr>
          <w:rFonts w:ascii="宋体" w:hAnsi="宋体"/>
          <w:color w:val="auto"/>
        </w:rPr>
      </w:pPr>
      <w:r>
        <w:rPr>
          <w:rFonts w:hint="eastAsia" w:ascii="宋体" w:hAnsi="宋体"/>
          <w:color w:val="auto"/>
        </w:rPr>
        <w:t>3）</w:t>
      </w:r>
      <w:r>
        <w:rPr>
          <w:rFonts w:hint="eastAsia"/>
          <w:color w:val="auto"/>
        </w:rPr>
        <w:t>不具备招标文件中规定资格要求</w:t>
      </w:r>
      <w:r>
        <w:rPr>
          <w:rFonts w:hint="eastAsia" w:ascii="宋体" w:hAnsi="宋体"/>
          <w:color w:val="auto"/>
        </w:rPr>
        <w:t>；</w:t>
      </w:r>
    </w:p>
    <w:p>
      <w:pPr>
        <w:autoSpaceDE w:val="0"/>
        <w:autoSpaceDN w:val="0"/>
        <w:adjustRightInd w:val="0"/>
        <w:snapToGrid w:val="0"/>
        <w:spacing w:line="360" w:lineRule="auto"/>
        <w:ind w:left="700" w:right="32" w:hanging="280"/>
        <w:rPr>
          <w:rFonts w:ascii="宋体" w:hAnsi="宋体"/>
          <w:color w:val="auto"/>
        </w:rPr>
      </w:pPr>
      <w:r>
        <w:rPr>
          <w:rFonts w:hint="eastAsia" w:ascii="宋体" w:hAnsi="宋体"/>
          <w:color w:val="auto"/>
        </w:rPr>
        <w:t>4）</w:t>
      </w:r>
      <w:r>
        <w:rPr>
          <w:rFonts w:hint="eastAsia"/>
          <w:color w:val="auto"/>
        </w:rPr>
        <w:t>不符合法律、法规和招标文件中规定的其他实质性要求的</w:t>
      </w:r>
      <w:r>
        <w:rPr>
          <w:rFonts w:hint="eastAsia" w:ascii="宋体" w:hAnsi="宋体"/>
          <w:color w:val="auto"/>
        </w:rPr>
        <w:t>。</w:t>
      </w:r>
    </w:p>
    <w:p>
      <w:pPr>
        <w:pStyle w:val="25"/>
        <w:adjustRightInd w:val="0"/>
        <w:snapToGrid w:val="0"/>
        <w:spacing w:line="360" w:lineRule="auto"/>
        <w:ind w:left="420" w:hanging="420" w:hangingChars="200"/>
        <w:rPr>
          <w:rFonts w:hAnsi="宋体"/>
          <w:color w:val="auto"/>
          <w:szCs w:val="24"/>
        </w:rPr>
      </w:pPr>
      <w:r>
        <w:rPr>
          <w:rFonts w:hint="eastAsia" w:hAnsi="宋体"/>
          <w:color w:val="auto"/>
          <w:szCs w:val="24"/>
        </w:rPr>
        <w:t>24. 投标文件的澄清</w:t>
      </w:r>
    </w:p>
    <w:p>
      <w:pPr>
        <w:pStyle w:val="25"/>
        <w:adjustRightInd w:val="0"/>
        <w:snapToGrid w:val="0"/>
        <w:spacing w:line="360" w:lineRule="auto"/>
        <w:ind w:left="525" w:hanging="525" w:hangingChars="250"/>
        <w:rPr>
          <w:rFonts w:ascii="Times New Roman" w:hAnsi="Times New Roman"/>
          <w:color w:val="auto"/>
        </w:rPr>
      </w:pPr>
      <w:r>
        <w:rPr>
          <w:rFonts w:hint="eastAsia" w:hAnsi="宋体"/>
          <w:color w:val="auto"/>
        </w:rPr>
        <w:t>24.1 评标期间，对投标文件中含义不明确、同类问题表述不一致或者有明显文字和计算错误的内容，评标委员会可以书面形式（应当由评标委员会专家签字）要求投标人作出必要的澄清、说明或者纠正</w:t>
      </w:r>
      <w:r>
        <w:rPr>
          <w:rFonts w:hint="eastAsia" w:ascii="Times New Roman" w:hAnsi="Times New Roman"/>
          <w:color w:val="auto"/>
        </w:rPr>
        <w:t>，</w:t>
      </w:r>
      <w:r>
        <w:rPr>
          <w:rFonts w:hint="eastAsia" w:ascii="Times New Roman" w:hAnsi="Times New Roman"/>
          <w:color w:val="auto"/>
          <w:kern w:val="0"/>
        </w:rPr>
        <w:t>但不得允许投标人对投标报价等实质性内容做任何更改</w:t>
      </w:r>
      <w:r>
        <w:rPr>
          <w:rFonts w:hint="eastAsia" w:ascii="Times New Roman" w:hAnsi="Times New Roman"/>
          <w:color w:val="auto"/>
        </w:rPr>
        <w:t>。投标人的澄清、说明或者补正应当采用书面形式，由其授权的代表签字，并不得超出投标文件的范围或者改变投标文件的实质性内容。</w:t>
      </w:r>
      <w:r>
        <w:rPr>
          <w:rFonts w:hint="eastAsia" w:ascii="Times New Roman" w:hAnsi="Times New Roman"/>
          <w:color w:val="auto"/>
          <w:kern w:val="0"/>
        </w:rPr>
        <w:t>有关澄清的答复均应由投标人的法定代表人或授权代表签字的书面形式作出。</w:t>
      </w:r>
    </w:p>
    <w:p>
      <w:pPr>
        <w:pStyle w:val="25"/>
        <w:adjustRightInd w:val="0"/>
        <w:snapToGrid w:val="0"/>
        <w:spacing w:line="360" w:lineRule="auto"/>
        <w:rPr>
          <w:rFonts w:hAnsi="宋体"/>
          <w:color w:val="auto"/>
          <w:szCs w:val="24"/>
        </w:rPr>
      </w:pPr>
      <w:r>
        <w:rPr>
          <w:rFonts w:hint="eastAsia" w:hAnsi="宋体"/>
          <w:color w:val="auto"/>
          <w:szCs w:val="24"/>
        </w:rPr>
        <w:t>24.2 投标人的澄清文件是其投标文件的组成部分。</w:t>
      </w:r>
    </w:p>
    <w:p>
      <w:pPr>
        <w:tabs>
          <w:tab w:val="left" w:pos="8280"/>
        </w:tabs>
        <w:autoSpaceDE w:val="0"/>
        <w:autoSpaceDN w:val="0"/>
        <w:adjustRightInd w:val="0"/>
        <w:snapToGrid w:val="0"/>
        <w:spacing w:line="360" w:lineRule="auto"/>
        <w:ind w:left="420" w:right="32" w:hanging="420" w:hangingChars="200"/>
        <w:rPr>
          <w:rFonts w:ascii="宋体" w:hAnsi="宋体"/>
          <w:color w:val="auto"/>
        </w:rPr>
      </w:pPr>
      <w:r>
        <w:rPr>
          <w:rFonts w:hint="eastAsia" w:ascii="宋体" w:hAnsi="宋体"/>
          <w:color w:val="auto"/>
        </w:rPr>
        <w:t>25. 投标的评价</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25.1 评标委员会只对确定为实质上响应招标文件要求的投标文件进行评价和比较。</w:t>
      </w:r>
    </w:p>
    <w:p>
      <w:pPr>
        <w:tabs>
          <w:tab w:val="left" w:pos="840"/>
        </w:tabs>
        <w:adjustRightInd w:val="0"/>
        <w:snapToGrid w:val="0"/>
        <w:spacing w:line="360" w:lineRule="auto"/>
        <w:rPr>
          <w:rFonts w:ascii="宋体" w:hAnsi="宋体"/>
          <w:color w:val="auto"/>
        </w:rPr>
      </w:pPr>
      <w:r>
        <w:rPr>
          <w:rFonts w:hint="eastAsia" w:ascii="宋体" w:hAnsi="宋体"/>
          <w:color w:val="auto"/>
        </w:rPr>
        <w:t>26. 授标</w:t>
      </w:r>
    </w:p>
    <w:p>
      <w:pPr>
        <w:tabs>
          <w:tab w:val="left" w:pos="0"/>
        </w:tabs>
        <w:adjustRightInd w:val="0"/>
        <w:snapToGrid w:val="0"/>
        <w:spacing w:line="360" w:lineRule="auto"/>
        <w:ind w:left="473" w:hanging="472" w:hangingChars="225"/>
        <w:rPr>
          <w:rFonts w:ascii="宋体" w:hAnsi="宋体"/>
          <w:color w:val="auto"/>
        </w:rPr>
      </w:pPr>
      <w:r>
        <w:rPr>
          <w:rFonts w:hint="eastAsia" w:ascii="宋体" w:hAnsi="宋体"/>
          <w:color w:val="auto"/>
        </w:rPr>
        <w:t>26.1 评标委员会按照招标文件确定的评标方法、步骤、标准，对投标文件进行评审，提出书面评标报告。</w:t>
      </w:r>
    </w:p>
    <w:p>
      <w:pPr>
        <w:tabs>
          <w:tab w:val="left" w:pos="0"/>
        </w:tabs>
        <w:adjustRightInd w:val="0"/>
        <w:snapToGrid w:val="0"/>
        <w:spacing w:line="360" w:lineRule="auto"/>
        <w:ind w:left="473" w:hanging="472" w:hangingChars="225"/>
        <w:rPr>
          <w:rFonts w:ascii="宋体" w:hAnsi="宋体"/>
          <w:color w:val="auto"/>
        </w:rPr>
      </w:pPr>
      <w:r>
        <w:rPr>
          <w:rFonts w:hint="eastAsia" w:ascii="宋体" w:hAnsi="宋体"/>
          <w:color w:val="auto"/>
        </w:rPr>
        <w:t>26.2</w:t>
      </w:r>
      <w:r>
        <w:rPr>
          <w:rFonts w:hint="eastAsia" w:ascii="宋体" w:hAnsi="宋体"/>
          <w:color w:val="auto"/>
          <w:szCs w:val="21"/>
        </w:rPr>
        <w:t>采用综合评分法的，按评审后得分由高到低顺序排列。得分相同的，按投标报价由低到高顺序排列。得分且投标报价相同的，按技术指标优劣顺序排列。除</w:t>
      </w:r>
      <w:r>
        <w:rPr>
          <w:rFonts w:hint="eastAsia" w:hAnsi="宋体"/>
          <w:color w:val="auto"/>
        </w:rPr>
        <w:t>《投标须知前附表》</w:t>
      </w:r>
      <w:r>
        <w:rPr>
          <w:rFonts w:hint="eastAsia" w:ascii="宋体" w:hAnsi="宋体"/>
          <w:color w:val="auto"/>
          <w:szCs w:val="21"/>
        </w:rPr>
        <w:t>另有规定的，推荐综合得分排名第一的投标人为第一中标候选人，排名第二的投标人为第二中标候选人。</w:t>
      </w:r>
    </w:p>
    <w:p>
      <w:pPr>
        <w:tabs>
          <w:tab w:val="left" w:pos="0"/>
        </w:tabs>
        <w:adjustRightInd w:val="0"/>
        <w:snapToGrid w:val="0"/>
        <w:spacing w:line="360" w:lineRule="auto"/>
        <w:ind w:left="473" w:hanging="472" w:hangingChars="225"/>
        <w:rPr>
          <w:rFonts w:ascii="宋体" w:hAnsi="宋体"/>
          <w:color w:val="auto"/>
        </w:rPr>
      </w:pPr>
      <w:r>
        <w:rPr>
          <w:rFonts w:hint="eastAsia" w:ascii="宋体" w:hAnsi="宋体"/>
          <w:color w:val="auto"/>
        </w:rPr>
        <w:t>26.5 采购人在收到评标报告后的法定时间内，按照评标报告中推荐的中标候选人顺序确定中标人，也可以事先授权评标委员会直接确定中标人。</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26.6 中标人确定后，政府采购代理机构将在政府采购监督管理部门指定的媒体上发布中标公告，并向中标人发出《中标通知书》，《中标通知书》对中标人和采购人具有同等法律效力。</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27. 替补候选人的设定与使用</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27.1 评标委员会按照总得分由高到低的顺序推荐中标候选人名单。排名第一的推荐为中标候选人，其余按总得分由高到低依次为中标备选人，由采购人依法选定中标人。若中标候选人不能履行合同，采购人可将合同授予下一个中标候选人，或者按规定重新组织招标。</w:t>
      </w:r>
    </w:p>
    <w:p>
      <w:pPr>
        <w:autoSpaceDE w:val="0"/>
        <w:autoSpaceDN w:val="0"/>
        <w:adjustRightInd w:val="0"/>
        <w:snapToGrid w:val="0"/>
        <w:spacing w:line="360" w:lineRule="auto"/>
        <w:ind w:left="420" w:right="32" w:hanging="420"/>
        <w:rPr>
          <w:rFonts w:ascii="宋体" w:hAnsi="宋体"/>
          <w:b/>
          <w:color w:val="auto"/>
        </w:rPr>
      </w:pPr>
      <w:r>
        <w:rPr>
          <w:rFonts w:hint="eastAsia" w:ascii="宋体" w:hAnsi="宋体"/>
          <w:b/>
          <w:color w:val="auto"/>
        </w:rPr>
        <w:t>六、质疑和投诉</w:t>
      </w:r>
    </w:p>
    <w:p>
      <w:pPr>
        <w:autoSpaceDE w:val="0"/>
        <w:autoSpaceDN w:val="0"/>
        <w:adjustRightInd w:val="0"/>
        <w:snapToGrid w:val="0"/>
        <w:spacing w:line="360" w:lineRule="auto"/>
        <w:ind w:left="420" w:right="32" w:hanging="420"/>
        <w:rPr>
          <w:rFonts w:ascii="宋体" w:hAnsi="宋体"/>
          <w:color w:val="auto"/>
        </w:rPr>
      </w:pPr>
      <w:r>
        <w:rPr>
          <w:rFonts w:hint="eastAsia" w:ascii="宋体" w:hAnsi="宋体"/>
          <w:color w:val="auto"/>
        </w:rPr>
        <w:t>28.1 如果投标人对此次采购活动有疑问，可依法向采购人或政府采购代理机构提出质疑。采购人或政府采购代理机构应当依法给与答复，并将结果告知有关当事人。</w:t>
      </w:r>
    </w:p>
    <w:p>
      <w:pPr>
        <w:autoSpaceDE w:val="0"/>
        <w:autoSpaceDN w:val="0"/>
        <w:adjustRightInd w:val="0"/>
        <w:snapToGrid w:val="0"/>
        <w:spacing w:line="360" w:lineRule="auto"/>
        <w:ind w:left="473" w:right="32" w:hanging="472" w:hangingChars="225"/>
        <w:rPr>
          <w:rFonts w:ascii="宋体" w:hAnsi="宋体"/>
          <w:color w:val="auto"/>
        </w:rPr>
      </w:pPr>
      <w:r>
        <w:rPr>
          <w:rFonts w:hint="eastAsia" w:ascii="宋体" w:hAnsi="宋体"/>
          <w:color w:val="auto"/>
        </w:rPr>
        <w:t>28.2 投标人对评标结果有质疑或投诉的，可根据《中华人民共和国政府采购法》及有关法规的规定，向相关部门书面提出，但需对质疑或投诉内容的真实性承担责任。</w:t>
      </w:r>
      <w:r>
        <w:rPr>
          <w:rFonts w:hint="eastAsia"/>
          <w:b/>
          <w:color w:val="auto"/>
          <w:spacing w:val="-4"/>
          <w:szCs w:val="21"/>
        </w:rPr>
        <w:t>质疑或投诉必须是书面的原件，并加盖投标人公章及由法定代表人或其授权代表签署或盖章。</w:t>
      </w:r>
    </w:p>
    <w:p>
      <w:pPr>
        <w:spacing w:line="360" w:lineRule="auto"/>
        <w:ind w:left="360"/>
        <w:rPr>
          <w:color w:val="auto"/>
        </w:rPr>
      </w:pPr>
      <w:r>
        <w:rPr>
          <w:rFonts w:hint="eastAsia" w:ascii="宋体" w:hAnsi="宋体"/>
          <w:color w:val="auto"/>
        </w:rPr>
        <w:t>1）</w:t>
      </w:r>
      <w:r>
        <w:rPr>
          <w:rFonts w:hint="eastAsia"/>
          <w:color w:val="auto"/>
        </w:rPr>
        <w:t>投标人对评标结果有质疑或投诉的，采购人或政府采购代理机构应在收到投标人书面质疑后7个工作日内，对质疑内容作出答复。</w:t>
      </w:r>
    </w:p>
    <w:p>
      <w:pPr>
        <w:tabs>
          <w:tab w:val="left" w:pos="4700"/>
        </w:tabs>
        <w:spacing w:line="360" w:lineRule="auto"/>
        <w:ind w:left="178" w:leftChars="85" w:firstLine="898" w:firstLineChars="428"/>
        <w:rPr>
          <w:rFonts w:ascii="宋体" w:hAnsi="宋体"/>
          <w:color w:val="auto"/>
        </w:rPr>
      </w:pPr>
      <w:r>
        <w:rPr>
          <w:rFonts w:hint="eastAsia"/>
          <w:color w:val="auto"/>
        </w:rPr>
        <w:t>政府</w:t>
      </w:r>
      <w:r>
        <w:rPr>
          <w:rFonts w:hint="eastAsia" w:ascii="宋体" w:hAnsi="宋体"/>
          <w:color w:val="auto"/>
        </w:rPr>
        <w:t>采购代理机构：</w:t>
      </w:r>
      <w:r>
        <w:rPr>
          <w:rFonts w:hint="eastAsia" w:ascii="宋体" w:hAnsi="宋体" w:cs="宋体"/>
          <w:szCs w:val="21"/>
        </w:rPr>
        <w:t>广东华联建设投资管理股份有限公司中山分公司</w:t>
      </w:r>
    </w:p>
    <w:p>
      <w:pPr>
        <w:tabs>
          <w:tab w:val="left" w:pos="720"/>
        </w:tabs>
        <w:autoSpaceDE w:val="0"/>
        <w:autoSpaceDN w:val="0"/>
        <w:spacing w:line="360" w:lineRule="auto"/>
        <w:ind w:left="720" w:firstLine="359" w:firstLineChars="171"/>
        <w:textAlignment w:val="bottom"/>
        <w:rPr>
          <w:rFonts w:ascii="宋体" w:hAnsi="宋体"/>
          <w:color w:val="auto"/>
        </w:rPr>
      </w:pPr>
      <w:r>
        <w:rPr>
          <w:rFonts w:hint="eastAsia" w:ascii="宋体" w:hAnsi="宋体"/>
          <w:color w:val="auto"/>
        </w:rPr>
        <w:t>地    址</w:t>
      </w:r>
      <w:r>
        <w:rPr>
          <w:rFonts w:ascii="宋体" w:hAnsi="宋体"/>
          <w:color w:val="auto"/>
        </w:rPr>
        <w:t>:</w:t>
      </w:r>
      <w:r>
        <w:rPr>
          <w:rFonts w:hint="eastAsia"/>
          <w:color w:val="auto"/>
        </w:rPr>
        <w:t xml:space="preserve"> </w:t>
      </w:r>
      <w:r>
        <w:rPr>
          <w:rFonts w:hint="eastAsia" w:ascii="宋体" w:hAnsi="宋体" w:cs="宋体"/>
          <w:szCs w:val="21"/>
        </w:rPr>
        <w:t>中山市五桂山镇岭东上筑花园1卡二楼</w:t>
      </w:r>
      <w:r>
        <w:rPr>
          <w:rFonts w:hint="eastAsia" w:ascii="宋体" w:hAnsi="宋体"/>
          <w:color w:val="auto"/>
        </w:rPr>
        <w:t xml:space="preserve"> </w:t>
      </w:r>
    </w:p>
    <w:p>
      <w:pPr>
        <w:tabs>
          <w:tab w:val="left" w:pos="720"/>
        </w:tabs>
        <w:autoSpaceDE w:val="0"/>
        <w:autoSpaceDN w:val="0"/>
        <w:spacing w:line="360" w:lineRule="auto"/>
        <w:ind w:left="720" w:firstLine="359" w:firstLineChars="171"/>
        <w:textAlignment w:val="bottom"/>
        <w:rPr>
          <w:rFonts w:hint="eastAsia" w:ascii="宋体" w:hAnsi="宋体" w:eastAsia="宋体"/>
          <w:color w:val="auto"/>
          <w:lang w:val="en-US" w:eastAsia="zh-CN"/>
        </w:rPr>
      </w:pPr>
      <w:r>
        <w:rPr>
          <w:rFonts w:hint="eastAsia" w:ascii="宋体" w:hAnsi="宋体"/>
          <w:color w:val="auto"/>
        </w:rPr>
        <w:t>电    话：0760-</w:t>
      </w:r>
      <w:r>
        <w:rPr>
          <w:rFonts w:hint="eastAsia" w:ascii="宋体" w:hAnsi="宋体"/>
          <w:color w:val="auto"/>
          <w:lang w:val="en-US" w:eastAsia="zh-CN"/>
        </w:rPr>
        <w:t>88869878</w:t>
      </w:r>
    </w:p>
    <w:p>
      <w:pPr>
        <w:tabs>
          <w:tab w:val="left" w:pos="720"/>
        </w:tabs>
        <w:autoSpaceDE w:val="0"/>
        <w:autoSpaceDN w:val="0"/>
        <w:spacing w:line="360" w:lineRule="auto"/>
        <w:ind w:left="720" w:firstLine="359" w:firstLineChars="171"/>
        <w:textAlignment w:val="bottom"/>
        <w:rPr>
          <w:rFonts w:ascii="宋体" w:hAnsi="宋体"/>
          <w:color w:val="auto"/>
        </w:rPr>
      </w:pPr>
      <w:r>
        <w:rPr>
          <w:rFonts w:hint="eastAsia" w:ascii="宋体" w:hAnsi="宋体"/>
          <w:color w:val="auto"/>
        </w:rPr>
        <w:t>传    真：0760-</w:t>
      </w:r>
      <w:r>
        <w:rPr>
          <w:rFonts w:hint="eastAsia" w:ascii="宋体" w:hAnsi="宋体"/>
          <w:color w:val="auto"/>
          <w:lang w:val="en-US" w:eastAsia="zh-CN"/>
        </w:rPr>
        <w:t>88869878</w:t>
      </w:r>
    </w:p>
    <w:p>
      <w:pPr>
        <w:tabs>
          <w:tab w:val="left" w:pos="720"/>
        </w:tabs>
        <w:autoSpaceDE w:val="0"/>
        <w:autoSpaceDN w:val="0"/>
        <w:spacing w:line="360" w:lineRule="auto"/>
        <w:ind w:left="720" w:firstLine="359" w:firstLineChars="171"/>
        <w:textAlignment w:val="bottom"/>
        <w:rPr>
          <w:rFonts w:ascii="宋体" w:hAnsi="宋体"/>
          <w:color w:val="auto"/>
        </w:rPr>
      </w:pPr>
      <w:r>
        <w:rPr>
          <w:rFonts w:hint="eastAsia" w:ascii="宋体" w:hAnsi="宋体"/>
          <w:color w:val="auto"/>
        </w:rPr>
        <w:t>联 系 人：</w:t>
      </w:r>
      <w:r>
        <w:rPr>
          <w:rFonts w:hint="eastAsia" w:ascii="宋体" w:hAnsi="宋体" w:cs="宋体"/>
        </w:rPr>
        <w:t>许小姐</w:t>
      </w:r>
      <w:r>
        <w:rPr>
          <w:rFonts w:hint="eastAsia" w:ascii="宋体" w:hAnsi="宋体"/>
          <w:color w:val="auto"/>
        </w:rPr>
        <w:t xml:space="preserve"> </w:t>
      </w:r>
      <w:r>
        <w:rPr>
          <w:rFonts w:hint="eastAsia" w:ascii="宋体" w:hAnsi="宋体"/>
          <w:color w:val="auto"/>
          <w:lang w:eastAsia="zh-CN"/>
        </w:rPr>
        <w:t>黄</w:t>
      </w:r>
      <w:r>
        <w:rPr>
          <w:rFonts w:hint="eastAsia" w:ascii="宋体" w:hAnsi="宋体"/>
          <w:color w:val="auto"/>
        </w:rPr>
        <w:t>生</w:t>
      </w:r>
    </w:p>
    <w:p>
      <w:pPr>
        <w:spacing w:line="360" w:lineRule="auto"/>
        <w:ind w:left="360"/>
        <w:rPr>
          <w:rFonts w:ascii="宋体" w:hAnsi="宋体"/>
          <w:color w:val="auto"/>
        </w:rPr>
      </w:pPr>
      <w:r>
        <w:rPr>
          <w:rFonts w:hint="eastAsia" w:ascii="宋体" w:hAnsi="宋体"/>
          <w:color w:val="auto"/>
        </w:rPr>
        <w:t>2）投标人对采购人或</w:t>
      </w:r>
      <w:r>
        <w:rPr>
          <w:rFonts w:hint="eastAsia"/>
          <w:color w:val="auto"/>
        </w:rPr>
        <w:t>政府</w:t>
      </w:r>
      <w:r>
        <w:rPr>
          <w:rFonts w:hint="eastAsia" w:ascii="宋体" w:hAnsi="宋体"/>
          <w:color w:val="auto"/>
        </w:rPr>
        <w:t xml:space="preserve">采购代理机构的答复不满意或他们未在规定时间内给予答复的，提出质疑的投标人可以在答复期满后15个工作日内，按《投标须知前附表》中的联系方式向政府采购监督管理机构投诉。 </w:t>
      </w:r>
    </w:p>
    <w:p>
      <w:pPr>
        <w:pStyle w:val="25"/>
        <w:adjustRightInd w:val="0"/>
        <w:snapToGrid w:val="0"/>
        <w:spacing w:line="360" w:lineRule="auto"/>
        <w:rPr>
          <w:rFonts w:hAnsi="宋体"/>
          <w:b/>
          <w:color w:val="auto"/>
          <w:szCs w:val="24"/>
        </w:rPr>
      </w:pPr>
      <w:r>
        <w:rPr>
          <w:rFonts w:hint="eastAsia" w:hAnsi="宋体"/>
          <w:b/>
          <w:color w:val="auto"/>
          <w:szCs w:val="24"/>
        </w:rPr>
        <w:t>七、 合同的订立和履行</w:t>
      </w:r>
    </w:p>
    <w:p>
      <w:pPr>
        <w:autoSpaceDE w:val="0"/>
        <w:autoSpaceDN w:val="0"/>
        <w:adjustRightInd w:val="0"/>
        <w:snapToGrid w:val="0"/>
        <w:spacing w:line="360" w:lineRule="auto"/>
        <w:ind w:right="32"/>
        <w:rPr>
          <w:rFonts w:ascii="宋体" w:hAnsi="宋体"/>
          <w:color w:val="auto"/>
        </w:rPr>
      </w:pPr>
      <w:r>
        <w:rPr>
          <w:rFonts w:hint="eastAsia" w:ascii="宋体" w:hAnsi="宋体"/>
          <w:color w:val="auto"/>
        </w:rPr>
        <w:t>29. 合同的订立</w:t>
      </w:r>
    </w:p>
    <w:p>
      <w:pPr>
        <w:autoSpaceDE w:val="0"/>
        <w:autoSpaceDN w:val="0"/>
        <w:adjustRightInd w:val="0"/>
        <w:snapToGrid w:val="0"/>
        <w:spacing w:line="360" w:lineRule="auto"/>
        <w:ind w:left="525" w:right="32" w:hanging="525" w:hangingChars="250"/>
        <w:rPr>
          <w:rFonts w:ascii="宋体" w:hAnsi="宋体"/>
          <w:color w:val="auto"/>
        </w:rPr>
      </w:pPr>
      <w:r>
        <w:rPr>
          <w:rFonts w:hint="eastAsia" w:ascii="宋体" w:hAnsi="宋体"/>
          <w:color w:val="auto"/>
        </w:rPr>
        <w:t xml:space="preserve">29.1 </w:t>
      </w:r>
      <w:r>
        <w:rPr>
          <w:rFonts w:hint="eastAsia"/>
          <w:b/>
          <w:color w:val="auto"/>
          <w:szCs w:val="21"/>
        </w:rPr>
        <w:t>在合同签订前，中标人须提供营业执照、在投标文件中提供的资质证明文件、业绩合同等主要证明文件（如授权其分支机构进行项目实施或提供售后服务的，亦应提供其与分支机构关系的法律证明材料）的原件给</w:t>
      </w:r>
      <w:r>
        <w:rPr>
          <w:rFonts w:hint="eastAsia" w:hAnsi="宋体"/>
          <w:b/>
          <w:color w:val="auto"/>
          <w:szCs w:val="21"/>
        </w:rPr>
        <w:t>采购人</w:t>
      </w:r>
      <w:r>
        <w:rPr>
          <w:rFonts w:hint="eastAsia"/>
          <w:b/>
          <w:color w:val="auto"/>
          <w:szCs w:val="21"/>
        </w:rPr>
        <w:t>进行核对。如投标文件中复印件与原件不符，采购人有权取消其中标资格。</w:t>
      </w:r>
    </w:p>
    <w:p>
      <w:pPr>
        <w:autoSpaceDE w:val="0"/>
        <w:autoSpaceDN w:val="0"/>
        <w:adjustRightInd w:val="0"/>
        <w:snapToGrid w:val="0"/>
        <w:spacing w:line="360" w:lineRule="auto"/>
        <w:ind w:left="525" w:right="32" w:hanging="525" w:hangingChars="250"/>
        <w:rPr>
          <w:rFonts w:ascii="宋体" w:hAnsi="宋体"/>
          <w:color w:val="auto"/>
        </w:rPr>
      </w:pPr>
      <w:r>
        <w:rPr>
          <w:rFonts w:hint="eastAsia" w:ascii="宋体" w:hAnsi="宋体"/>
          <w:color w:val="auto"/>
        </w:rPr>
        <w:t>29.2  采购人与中标人自中标通知书发出之日起三十日内，按招标文件要求和中标人投标文件承诺签订政府采购合同，但不得超出招标文件和中标人投标文件的范围、也不得再行订立背离合同实质性内容的其他协议。</w:t>
      </w:r>
    </w:p>
    <w:p>
      <w:pPr>
        <w:autoSpaceDE w:val="0"/>
        <w:autoSpaceDN w:val="0"/>
        <w:adjustRightInd w:val="0"/>
        <w:snapToGrid w:val="0"/>
        <w:spacing w:line="360" w:lineRule="auto"/>
        <w:ind w:left="525" w:right="32" w:hanging="525" w:hangingChars="250"/>
        <w:rPr>
          <w:rFonts w:ascii="宋体" w:hAnsi="宋体"/>
          <w:color w:val="auto"/>
        </w:rPr>
      </w:pPr>
      <w:r>
        <w:rPr>
          <w:rFonts w:hint="eastAsia" w:ascii="宋体" w:hAnsi="宋体"/>
          <w:color w:val="auto"/>
        </w:rPr>
        <w:t>29.3 签订政府采购合同后7个工作日内，采购人应将政府采购合同副本报同级政府采购监督管理部门备案。</w:t>
      </w:r>
    </w:p>
    <w:p>
      <w:pPr>
        <w:adjustRightInd w:val="0"/>
        <w:snapToGrid w:val="0"/>
        <w:spacing w:line="360" w:lineRule="auto"/>
        <w:rPr>
          <w:rFonts w:ascii="宋体" w:hAnsi="宋体"/>
          <w:color w:val="auto"/>
        </w:rPr>
      </w:pPr>
      <w:r>
        <w:rPr>
          <w:rFonts w:hint="eastAsia" w:ascii="宋体" w:hAnsi="宋体"/>
          <w:color w:val="auto"/>
        </w:rPr>
        <w:t>30. 合同的履行</w:t>
      </w:r>
    </w:p>
    <w:p>
      <w:pPr>
        <w:spacing w:line="360" w:lineRule="auto"/>
        <w:ind w:left="525" w:hanging="525" w:hangingChars="250"/>
        <w:rPr>
          <w:rFonts w:ascii="宋体" w:hAnsi="宋体"/>
          <w:color w:val="auto"/>
        </w:rPr>
      </w:pPr>
      <w:r>
        <w:rPr>
          <w:rFonts w:hint="eastAsia" w:ascii="宋体" w:hAnsi="宋体"/>
          <w:color w:val="auto"/>
        </w:rPr>
        <w:t>30.1 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left="525" w:hanging="525" w:hangingChars="250"/>
        <w:rPr>
          <w:rFonts w:ascii="宋体" w:hAnsi="宋体"/>
          <w:color w:val="auto"/>
        </w:rPr>
      </w:pPr>
      <w:r>
        <w:rPr>
          <w:rFonts w:hint="eastAsia" w:ascii="宋体" w:hAnsi="宋体"/>
          <w:color w:val="auto"/>
        </w:rPr>
        <w:t>30.2 政府采购合同履行中，采购人需追加与合同标的相同的服务的，在不改变合同其他条款的前提下，可以与服务商签订补充合同，但所补充合同的采购金额不得超过原采购金额的百分之十。签订补充合同的必须按照29.2条的规定备案。</w:t>
      </w:r>
    </w:p>
    <w:p>
      <w:pPr>
        <w:spacing w:line="360" w:lineRule="auto"/>
        <w:ind w:left="525" w:hanging="525" w:hangingChars="250"/>
        <w:rPr>
          <w:rFonts w:ascii="宋体" w:hAnsi="宋体"/>
          <w:color w:val="auto"/>
        </w:rPr>
      </w:pPr>
      <w:r>
        <w:rPr>
          <w:rFonts w:hint="eastAsia" w:ascii="宋体" w:hAnsi="宋体"/>
          <w:color w:val="auto"/>
        </w:rPr>
        <w:t>30.3 如果《投标须知前附表》有要求，中标人在收到采购代理机构的中标通知书后三十（30）天内，应按照合同条款的规定，采用招标文件中提供的履约保证金保函格式或采购人可以接受的其它形式向采购人提交履约保证金。如果</w:t>
      </w:r>
      <w:r>
        <w:rPr>
          <w:rFonts w:ascii="宋体" w:hAnsi="宋体"/>
          <w:color w:val="auto"/>
        </w:rPr>
        <w:t>中标人不</w:t>
      </w:r>
      <w:r>
        <w:rPr>
          <w:rFonts w:hint="eastAsia" w:ascii="宋体" w:hAnsi="宋体"/>
          <w:color w:val="auto"/>
        </w:rPr>
        <w:t>按规定向采购人提交履约担保</w:t>
      </w:r>
      <w:r>
        <w:rPr>
          <w:rFonts w:ascii="宋体" w:hAnsi="宋体"/>
          <w:color w:val="auto"/>
        </w:rPr>
        <w:t>，采购人将有充分的理由取消其中标资格并不予退还其投标保证金</w:t>
      </w:r>
      <w:r>
        <w:rPr>
          <w:rFonts w:hint="eastAsia" w:ascii="宋体" w:hAnsi="宋体"/>
          <w:color w:val="auto"/>
        </w:rPr>
        <w:t xml:space="preserve">。    </w:t>
      </w:r>
    </w:p>
    <w:p>
      <w:pPr>
        <w:adjustRightInd w:val="0"/>
        <w:snapToGrid w:val="0"/>
        <w:spacing w:line="360" w:lineRule="auto"/>
        <w:rPr>
          <w:rFonts w:ascii="宋体" w:hAnsi="宋体"/>
          <w:b/>
          <w:color w:val="auto"/>
        </w:rPr>
      </w:pPr>
      <w:r>
        <w:rPr>
          <w:rFonts w:hint="eastAsia" w:ascii="宋体" w:hAnsi="宋体"/>
          <w:b/>
          <w:color w:val="auto"/>
        </w:rPr>
        <w:t>八、适用法律</w:t>
      </w:r>
    </w:p>
    <w:p>
      <w:pPr>
        <w:autoSpaceDE w:val="0"/>
        <w:autoSpaceDN w:val="0"/>
        <w:adjustRightInd w:val="0"/>
        <w:snapToGrid w:val="0"/>
        <w:spacing w:line="360" w:lineRule="auto"/>
        <w:ind w:left="420" w:right="34" w:hanging="420"/>
        <w:rPr>
          <w:color w:val="auto"/>
        </w:rPr>
      </w:pPr>
      <w:r>
        <w:rPr>
          <w:rFonts w:hint="eastAsia" w:ascii="宋体" w:hAnsi="宋体"/>
          <w:color w:val="auto"/>
        </w:rPr>
        <w:t>31.</w:t>
      </w:r>
      <w:r>
        <w:rPr>
          <w:rFonts w:hint="eastAsia" w:ascii="宋体" w:hAnsi="宋体" w:cs="宋体"/>
          <w:color w:val="auto"/>
          <w:kern w:val="28"/>
        </w:rPr>
        <w:t>中华人民共和国中山海关</w:t>
      </w:r>
      <w:r>
        <w:rPr>
          <w:rFonts w:hint="eastAsia" w:ascii="宋体" w:hAnsi="宋体"/>
          <w:color w:val="auto"/>
        </w:rPr>
        <w:t>、</w:t>
      </w:r>
      <w:r>
        <w:rPr>
          <w:rFonts w:hint="eastAsia" w:ascii="宋体" w:hAnsi="宋体" w:cs="宋体"/>
          <w:szCs w:val="21"/>
        </w:rPr>
        <w:t>广东华联建设投资管理股份有限公司中山分公司</w:t>
      </w:r>
      <w:r>
        <w:rPr>
          <w:rFonts w:hint="eastAsia"/>
          <w:color w:val="auto"/>
        </w:rPr>
        <w:t>及投标人的一切招标投标活动均适用《中华人民共和国政府采购法》及其配套的法规、规章、政策。</w:t>
      </w:r>
    </w:p>
    <w:p>
      <w:pPr>
        <w:pStyle w:val="5"/>
        <w:spacing w:line="360" w:lineRule="auto"/>
        <w:ind w:firstLine="0" w:firstLineChars="0"/>
        <w:rPr>
          <w:color w:val="auto"/>
        </w:rPr>
      </w:pPr>
      <w:r>
        <w:rPr>
          <w:color w:val="auto"/>
        </w:rPr>
        <w:br w:type="page"/>
      </w: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pStyle w:val="5"/>
        <w:spacing w:line="360" w:lineRule="auto"/>
        <w:ind w:firstLine="0" w:firstLineChars="0"/>
        <w:rPr>
          <w:color w:val="auto"/>
        </w:rPr>
      </w:pPr>
    </w:p>
    <w:p>
      <w:pPr>
        <w:spacing w:line="480" w:lineRule="exact"/>
        <w:jc w:val="center"/>
        <w:rPr>
          <w:rFonts w:eastAsia="黑体"/>
          <w:b/>
          <w:color w:val="auto"/>
          <w:sz w:val="44"/>
        </w:rPr>
      </w:pPr>
      <w:r>
        <w:rPr>
          <w:rFonts w:hint="eastAsia" w:eastAsia="黑体"/>
          <w:b/>
          <w:color w:val="auto"/>
          <w:sz w:val="44"/>
        </w:rPr>
        <w:t>第四部分</w:t>
      </w:r>
    </w:p>
    <w:p>
      <w:pPr>
        <w:spacing w:line="480" w:lineRule="exact"/>
        <w:jc w:val="center"/>
        <w:rPr>
          <w:rFonts w:eastAsia="黑体"/>
          <w:b/>
          <w:color w:val="auto"/>
          <w:sz w:val="44"/>
        </w:rPr>
      </w:pPr>
    </w:p>
    <w:p>
      <w:pPr>
        <w:pStyle w:val="5"/>
        <w:spacing w:line="360" w:lineRule="auto"/>
        <w:ind w:firstLine="0" w:firstLineChars="0"/>
        <w:jc w:val="center"/>
        <w:rPr>
          <w:color w:val="auto"/>
        </w:rPr>
      </w:pPr>
      <w:r>
        <w:rPr>
          <w:rFonts w:hint="eastAsia" w:eastAsia="黑体"/>
          <w:b/>
          <w:color w:val="auto"/>
          <w:sz w:val="44"/>
        </w:rPr>
        <w:t>评</w:t>
      </w:r>
      <w:r>
        <w:rPr>
          <w:rFonts w:eastAsia="黑体"/>
          <w:b/>
          <w:color w:val="auto"/>
          <w:sz w:val="44"/>
        </w:rPr>
        <w:t xml:space="preserve"> </w:t>
      </w:r>
      <w:r>
        <w:rPr>
          <w:rFonts w:hint="eastAsia" w:eastAsia="黑体"/>
          <w:b/>
          <w:color w:val="auto"/>
          <w:sz w:val="44"/>
        </w:rPr>
        <w:t>标</w:t>
      </w:r>
      <w:r>
        <w:rPr>
          <w:rFonts w:eastAsia="黑体"/>
          <w:b/>
          <w:color w:val="auto"/>
          <w:sz w:val="44"/>
        </w:rPr>
        <w:t xml:space="preserve"> </w:t>
      </w:r>
      <w:r>
        <w:rPr>
          <w:rFonts w:hint="eastAsia" w:eastAsia="黑体"/>
          <w:b/>
          <w:color w:val="auto"/>
          <w:sz w:val="44"/>
        </w:rPr>
        <w:t>方 法</w:t>
      </w:r>
      <w:r>
        <w:rPr>
          <w:color w:val="auto"/>
        </w:rPr>
        <w:br w:type="page"/>
      </w:r>
      <w:r>
        <w:rPr>
          <w:rFonts w:hint="eastAsia"/>
          <w:b/>
          <w:color w:val="auto"/>
          <w:sz w:val="28"/>
          <w:szCs w:val="28"/>
        </w:rPr>
        <w:t>评标方法</w:t>
      </w:r>
    </w:p>
    <w:p>
      <w:pPr>
        <w:pStyle w:val="5"/>
        <w:spacing w:line="360" w:lineRule="auto"/>
        <w:ind w:firstLine="411" w:firstLineChars="196"/>
        <w:rPr>
          <w:color w:val="auto"/>
          <w:kern w:val="0"/>
        </w:rPr>
      </w:pPr>
      <w:r>
        <w:rPr>
          <w:rFonts w:hint="eastAsia"/>
          <w:color w:val="auto"/>
          <w:kern w:val="0"/>
        </w:rPr>
        <w:t>根据《中华人民共和国政府采购法》、广东省实施《中华人民共和国政府采购法》办法及相关法律、法规的规定确定以下评标方法、步骤及标准：</w:t>
      </w:r>
    </w:p>
    <w:p>
      <w:pPr>
        <w:pStyle w:val="25"/>
        <w:adjustRightInd w:val="0"/>
        <w:snapToGrid w:val="0"/>
        <w:spacing w:line="360" w:lineRule="auto"/>
        <w:rPr>
          <w:rFonts w:ascii="Times New Roman" w:hAnsi="Times New Roman"/>
          <w:b/>
          <w:color w:val="auto"/>
          <w:szCs w:val="24"/>
        </w:rPr>
      </w:pPr>
      <w:r>
        <w:rPr>
          <w:rFonts w:hint="eastAsia" w:ascii="Times New Roman" w:hAnsi="Times New Roman"/>
          <w:b/>
          <w:color w:val="auto"/>
          <w:szCs w:val="24"/>
        </w:rPr>
        <w:t>一、总则</w:t>
      </w:r>
    </w:p>
    <w:p>
      <w:pPr>
        <w:pStyle w:val="5"/>
        <w:spacing w:line="360" w:lineRule="auto"/>
        <w:ind w:firstLine="0" w:firstLineChars="0"/>
        <w:rPr>
          <w:color w:val="auto"/>
          <w:kern w:val="0"/>
        </w:rPr>
      </w:pPr>
      <w:r>
        <w:rPr>
          <w:rFonts w:hint="eastAsia"/>
          <w:color w:val="auto"/>
          <w:kern w:val="0"/>
        </w:rPr>
        <w:t>1、评标委员会</w:t>
      </w:r>
    </w:p>
    <w:p>
      <w:pPr>
        <w:adjustRightInd w:val="0"/>
        <w:snapToGrid w:val="0"/>
        <w:spacing w:line="360" w:lineRule="auto"/>
        <w:ind w:left="325" w:hanging="325" w:hangingChars="155"/>
        <w:rPr>
          <w:rFonts w:ascii="宋体" w:hAnsi="宋体"/>
          <w:color w:val="auto"/>
        </w:rPr>
      </w:pPr>
      <w:r>
        <w:rPr>
          <w:rFonts w:hint="eastAsia" w:ascii="宋体" w:hAnsi="宋体"/>
          <w:color w:val="auto"/>
        </w:rPr>
        <w:t>1.1本次招标依法组建评标委员会。本次评标的评委会依法由</w:t>
      </w:r>
      <w:r>
        <w:rPr>
          <w:rFonts w:hint="eastAsia" w:ascii="宋体" w:hAnsi="宋体"/>
          <w:color w:val="auto"/>
          <w:u w:val="single"/>
        </w:rPr>
        <w:t xml:space="preserve"> 5  </w:t>
      </w:r>
      <w:r>
        <w:rPr>
          <w:rFonts w:hint="eastAsia" w:ascii="宋体" w:hAnsi="宋体"/>
          <w:color w:val="auto"/>
        </w:rPr>
        <w:t>位评委组成，包括：采购人代表</w:t>
      </w:r>
      <w:r>
        <w:rPr>
          <w:rFonts w:hint="eastAsia" w:ascii="宋体" w:hAnsi="宋体"/>
          <w:color w:val="auto"/>
          <w:u w:val="single"/>
        </w:rPr>
        <w:t xml:space="preserve"> </w:t>
      </w:r>
      <w:r>
        <w:rPr>
          <w:rFonts w:hint="eastAsia" w:ascii="宋体" w:hAnsi="宋体"/>
          <w:i/>
          <w:color w:val="auto"/>
          <w:u w:val="single"/>
        </w:rPr>
        <w:t>1</w:t>
      </w:r>
      <w:r>
        <w:rPr>
          <w:rFonts w:hint="eastAsia" w:ascii="宋体" w:hAnsi="宋体"/>
          <w:color w:val="auto"/>
          <w:u w:val="single"/>
        </w:rPr>
        <w:t xml:space="preserve"> </w:t>
      </w:r>
      <w:r>
        <w:rPr>
          <w:rFonts w:hint="eastAsia" w:ascii="宋体" w:hAnsi="宋体"/>
          <w:color w:val="auto"/>
        </w:rPr>
        <w:t xml:space="preserve"> 人和专家</w:t>
      </w:r>
      <w:r>
        <w:rPr>
          <w:rFonts w:hint="eastAsia" w:ascii="宋体" w:hAnsi="宋体"/>
          <w:color w:val="auto"/>
          <w:u w:val="single"/>
        </w:rPr>
        <w:t xml:space="preserve"> 4 </w:t>
      </w:r>
      <w:r>
        <w:rPr>
          <w:rFonts w:hint="eastAsia" w:ascii="宋体" w:hAnsi="宋体"/>
          <w:color w:val="auto"/>
        </w:rPr>
        <w:t>人。评委会负责全部的评审工作，任何人不得干预评委会的工作。评委会下设评标工作小组，主要负责相关资料的整理、记录评标情况等工作。评审专家（不含采购人代表）有下列情形之一的，受到邀请应主动提出回避，采购当事人也可以要求该评审专家回避：</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（1) 三年内曾在参加该采购项目服务商中任职或担任顾问的；</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（2) 配偶或直系亲属在参加该采购项目的服务商中任职或担任顾问的；</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（3) 与参加该采购项目服务商发生过法律纠纷的；</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（4) 评标委员会中，同一任职单位评审专家超过二名的；</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（5) 任职单位为采购人单位或与参与该采购项目服务商存在行政隶属关系的；</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（6) 参与招标文件论证的；</w:t>
      </w:r>
    </w:p>
    <w:p>
      <w:pPr>
        <w:pStyle w:val="25"/>
        <w:adjustRightInd w:val="0"/>
        <w:snapToGrid w:val="0"/>
        <w:spacing w:line="360" w:lineRule="auto"/>
        <w:ind w:left="735" w:leftChars="200" w:hanging="315" w:hangingChars="150"/>
        <w:rPr>
          <w:rFonts w:hAnsi="宋体"/>
          <w:color w:val="auto"/>
          <w:szCs w:val="24"/>
        </w:rPr>
      </w:pPr>
      <w:r>
        <w:rPr>
          <w:rFonts w:hint="eastAsia" w:hAnsi="宋体"/>
          <w:color w:val="auto"/>
          <w:szCs w:val="24"/>
        </w:rPr>
        <w:t>（7) 法律、法规、规章规定应当回避以及其他可能影响公正评审的。</w:t>
      </w:r>
    </w:p>
    <w:p>
      <w:pPr>
        <w:adjustRightInd w:val="0"/>
        <w:snapToGrid w:val="0"/>
        <w:spacing w:line="360" w:lineRule="auto"/>
        <w:ind w:left="325" w:hanging="325" w:hangingChars="155"/>
        <w:rPr>
          <w:rFonts w:ascii="宋体" w:hAnsi="宋体"/>
          <w:color w:val="auto"/>
        </w:rPr>
      </w:pPr>
      <w:r>
        <w:rPr>
          <w:rFonts w:hint="eastAsia" w:ascii="宋体" w:hAnsi="宋体"/>
          <w:color w:val="auto"/>
        </w:rPr>
        <w:t>1.2评标委员会将按照招标文件确定的评标方法进行评标。对招标文件中描述有歧义或前后不一致的地方，评标委员会有权按法律法规的规定进行评判，但对同一条款的评判应适用于每个投标人。</w:t>
      </w:r>
    </w:p>
    <w:p>
      <w:pPr>
        <w:adjustRightInd w:val="0"/>
        <w:snapToGrid w:val="0"/>
        <w:spacing w:line="360" w:lineRule="auto"/>
        <w:ind w:left="325" w:hanging="325" w:hangingChars="155"/>
        <w:rPr>
          <w:rFonts w:ascii="宋体" w:hAnsi="宋体"/>
          <w:color w:val="auto"/>
        </w:rPr>
      </w:pPr>
      <w:r>
        <w:rPr>
          <w:rFonts w:hint="eastAsia" w:ascii="宋体" w:hAnsi="宋体"/>
          <w:color w:val="auto"/>
        </w:rPr>
        <w:t>1.3在评标期间，为方便对投标文件进行审核、评估和对比，评标委员会可以以书面形式要求投标人对投标文件中含义不明确、对同类问题表述不一致或者有明显文字和计算错误的内容作出必要的书面澄清说明，但该澄清说明不得超出投标文件的范围或者改变投标文件的实质性内容。</w:t>
      </w:r>
    </w:p>
    <w:p>
      <w:pPr>
        <w:adjustRightInd w:val="0"/>
        <w:snapToGrid w:val="0"/>
        <w:spacing w:line="360" w:lineRule="auto"/>
        <w:ind w:left="325" w:hanging="325" w:hangingChars="155"/>
        <w:rPr>
          <w:rFonts w:ascii="宋体" w:hAnsi="宋体"/>
          <w:color w:val="auto"/>
        </w:rPr>
      </w:pPr>
      <w:r>
        <w:rPr>
          <w:rFonts w:hint="eastAsia" w:ascii="宋体" w:hAnsi="宋体"/>
          <w:color w:val="auto"/>
        </w:rPr>
        <w:t>1.4如有必要，评标委员会将书面要求投标人修正投标文件中不构成实质性偏离的、微小的、非正规的、不一致的或不规则的地方，这些修正不应影响评标的公平公正。</w:t>
      </w:r>
    </w:p>
    <w:p>
      <w:pPr>
        <w:adjustRightInd w:val="0"/>
        <w:snapToGrid w:val="0"/>
        <w:spacing w:line="360" w:lineRule="auto"/>
        <w:ind w:left="325" w:hanging="325" w:hangingChars="155"/>
        <w:rPr>
          <w:rFonts w:ascii="宋体" w:hAnsi="宋体"/>
          <w:color w:val="auto"/>
        </w:rPr>
      </w:pPr>
      <w:r>
        <w:rPr>
          <w:rFonts w:hint="eastAsia" w:ascii="宋体" w:hAnsi="宋体"/>
          <w:color w:val="auto"/>
        </w:rPr>
        <w:t>1.5参与评标工作的所有人员必须遵守《中华人民共和国政府采购法》、广东省实施《中华人民共和国政府采购法》办法及相关法律、法规的规定，以确保评标的公平、公正。</w:t>
      </w:r>
    </w:p>
    <w:p>
      <w:pPr>
        <w:pStyle w:val="5"/>
        <w:spacing w:line="360" w:lineRule="auto"/>
        <w:ind w:firstLine="0" w:firstLineChars="0"/>
        <w:rPr>
          <w:color w:val="auto"/>
          <w:kern w:val="0"/>
        </w:rPr>
      </w:pPr>
      <w:r>
        <w:rPr>
          <w:rFonts w:hint="eastAsia"/>
          <w:color w:val="auto"/>
          <w:kern w:val="0"/>
        </w:rPr>
        <w:t>2、评标方法</w:t>
      </w:r>
    </w:p>
    <w:p>
      <w:pPr>
        <w:adjustRightInd w:val="0"/>
        <w:snapToGrid w:val="0"/>
        <w:spacing w:line="360" w:lineRule="auto"/>
        <w:ind w:left="325" w:hanging="325" w:hangingChars="155"/>
        <w:rPr>
          <w:rFonts w:ascii="宋体" w:hAnsi="宋体"/>
          <w:color w:val="auto"/>
        </w:rPr>
      </w:pPr>
      <w:r>
        <w:rPr>
          <w:rFonts w:hint="eastAsia" w:ascii="宋体" w:hAnsi="宋体"/>
          <w:color w:val="auto"/>
        </w:rPr>
        <w:t>2.1本次评标采用</w:t>
      </w:r>
      <w:r>
        <w:rPr>
          <w:rFonts w:hint="eastAsia" w:ascii="宋体" w:hAnsi="宋体"/>
          <w:b/>
          <w:color w:val="auto"/>
          <w:u w:val="single"/>
        </w:rPr>
        <w:t>综合评分法</w:t>
      </w:r>
      <w:r>
        <w:rPr>
          <w:rFonts w:hint="eastAsia" w:ascii="宋体" w:hAnsi="宋体"/>
          <w:color w:val="auto"/>
        </w:rPr>
        <w:t>。</w:t>
      </w:r>
    </w:p>
    <w:p>
      <w:pPr>
        <w:adjustRightInd w:val="0"/>
        <w:snapToGrid w:val="0"/>
        <w:spacing w:line="360" w:lineRule="auto"/>
        <w:ind w:left="325" w:hanging="325" w:hangingChars="155"/>
        <w:rPr>
          <w:rFonts w:ascii="宋体" w:hAnsi="宋体"/>
          <w:color w:val="auto"/>
        </w:rPr>
      </w:pPr>
      <w:r>
        <w:rPr>
          <w:rFonts w:hint="eastAsia" w:ascii="宋体" w:hAnsi="宋体"/>
          <w:color w:val="auto"/>
        </w:rPr>
        <w:t>2.2本次评标是以招标文件为依据，按公正、科学、客观、平等竞争的要求，推荐技术先进、报价合理、经验丰富、信誉良好、售后服务好以及综合实力强的中标人。</w:t>
      </w:r>
    </w:p>
    <w:p>
      <w:pPr>
        <w:pStyle w:val="5"/>
        <w:spacing w:line="360" w:lineRule="auto"/>
        <w:ind w:firstLine="0" w:firstLineChars="0"/>
        <w:rPr>
          <w:color w:val="auto"/>
          <w:kern w:val="0"/>
        </w:rPr>
      </w:pPr>
      <w:r>
        <w:rPr>
          <w:rFonts w:hint="eastAsia"/>
          <w:color w:val="auto"/>
          <w:kern w:val="0"/>
        </w:rPr>
        <w:t>3、评标步骤</w:t>
      </w:r>
    </w:p>
    <w:p>
      <w:pPr>
        <w:adjustRightInd w:val="0"/>
        <w:snapToGrid w:val="0"/>
        <w:spacing w:line="360" w:lineRule="auto"/>
        <w:ind w:left="325" w:hanging="325" w:hangingChars="155"/>
        <w:rPr>
          <w:rFonts w:ascii="宋体" w:hAnsi="宋体"/>
          <w:color w:val="auto"/>
        </w:rPr>
      </w:pPr>
      <w:r>
        <w:rPr>
          <w:rFonts w:hint="eastAsia" w:ascii="宋体" w:hAnsi="宋体"/>
          <w:color w:val="auto"/>
        </w:rPr>
        <w:t>3.1评标委员会先进行初步评审，再进行技术</w:t>
      </w:r>
      <w:r>
        <w:rPr>
          <w:rFonts w:hint="eastAsia" w:ascii="宋体"/>
          <w:color w:val="auto"/>
        </w:rPr>
        <w:t>(服务方案)</w:t>
      </w:r>
      <w:r>
        <w:rPr>
          <w:rFonts w:hint="eastAsia" w:ascii="宋体" w:hAnsi="宋体"/>
          <w:color w:val="auto"/>
        </w:rPr>
        <w:t>、商务及价格的详细评审。只有通过初步评审的投标才能进入详细的评审。最后评标委员会出具评标报告，并排序推荐三位中标候选人。</w:t>
      </w:r>
    </w:p>
    <w:p>
      <w:pPr>
        <w:pStyle w:val="5"/>
        <w:spacing w:line="360" w:lineRule="auto"/>
        <w:ind w:firstLine="0" w:firstLineChars="0"/>
        <w:rPr>
          <w:color w:val="auto"/>
          <w:kern w:val="0"/>
        </w:rPr>
      </w:pPr>
      <w:r>
        <w:rPr>
          <w:rFonts w:hint="eastAsia"/>
          <w:color w:val="auto"/>
          <w:kern w:val="0"/>
        </w:rPr>
        <w:t>4、</w:t>
      </w:r>
      <w:r>
        <w:rPr>
          <w:rFonts w:hint="eastAsia"/>
          <w:color w:val="auto"/>
        </w:rPr>
        <w:t>评分及其统计</w:t>
      </w:r>
    </w:p>
    <w:p>
      <w:pPr>
        <w:adjustRightInd w:val="0"/>
        <w:snapToGrid w:val="0"/>
        <w:spacing w:line="360" w:lineRule="auto"/>
        <w:ind w:left="325" w:hanging="325" w:hangingChars="155"/>
        <w:rPr>
          <w:rFonts w:ascii="宋体" w:hAnsi="宋体"/>
          <w:color w:val="auto"/>
        </w:rPr>
      </w:pPr>
      <w:r>
        <w:rPr>
          <w:rFonts w:hint="eastAsia" w:ascii="宋体" w:hAnsi="宋体"/>
          <w:color w:val="auto"/>
        </w:rPr>
        <w:t>4.1按照评标程序、评分标准以及权重分配的规定，评标委员会各成员分别首先就各个投标人的技术状况、商务状况及其对招标文件要求的响应情况进行评议和比较，评出其技术评分和商务评分。各评委的技术或商务评分去掉一个最高分和一个最低分，其余评委评分的算术平均值即为该投标人的技术或商务评分。然后，评出投标人的价格评分。将各投标人的技术评分、商务评分和价格评分分别乘以权重并相加得出其综合得分。将各综合得分由高到低顺序排列，综合得分最高的投标人为第一中标候选人，综合得分次高的投标人为第二中标候选人</w:t>
      </w:r>
      <w:r>
        <w:rPr>
          <w:rFonts w:hint="eastAsia" w:ascii="宋体" w:hAnsi="宋体"/>
          <w:color w:val="auto"/>
          <w:szCs w:val="21"/>
        </w:rPr>
        <w:t>，</w:t>
      </w:r>
      <w:r>
        <w:rPr>
          <w:rFonts w:hint="eastAsia" w:ascii="宋体" w:hAnsi="宋体"/>
          <w:color w:val="auto"/>
        </w:rPr>
        <w:t>综合得分次次高</w:t>
      </w:r>
      <w:r>
        <w:rPr>
          <w:rFonts w:hint="eastAsia" w:ascii="宋体" w:hAnsi="宋体"/>
          <w:color w:val="auto"/>
          <w:szCs w:val="21"/>
        </w:rPr>
        <w:t>的投标人为第三中标候选人</w:t>
      </w:r>
      <w:r>
        <w:rPr>
          <w:rFonts w:hint="eastAsia" w:ascii="宋体" w:hAnsi="宋体"/>
          <w:color w:val="auto"/>
        </w:rPr>
        <w:t>。</w:t>
      </w:r>
    </w:p>
    <w:p>
      <w:pPr>
        <w:pStyle w:val="25"/>
        <w:adjustRightInd w:val="0"/>
        <w:snapToGrid w:val="0"/>
        <w:spacing w:line="360" w:lineRule="auto"/>
        <w:rPr>
          <w:rFonts w:hAnsi="宋体"/>
          <w:b/>
          <w:color w:val="auto"/>
          <w:szCs w:val="24"/>
        </w:rPr>
      </w:pPr>
      <w:r>
        <w:rPr>
          <w:rFonts w:hint="eastAsia" w:hAnsi="宋体"/>
          <w:b/>
          <w:color w:val="auto"/>
          <w:szCs w:val="24"/>
        </w:rPr>
        <w:t>二、初步评审</w:t>
      </w:r>
    </w:p>
    <w:p>
      <w:pPr>
        <w:adjustRightInd w:val="0"/>
        <w:snapToGrid w:val="0"/>
        <w:spacing w:line="360" w:lineRule="auto"/>
        <w:ind w:left="325" w:hanging="325" w:hangingChars="155"/>
        <w:rPr>
          <w:rFonts w:ascii="宋体" w:hAnsi="宋体"/>
          <w:color w:val="auto"/>
        </w:rPr>
      </w:pPr>
      <w:r>
        <w:rPr>
          <w:rFonts w:hint="eastAsia" w:ascii="宋体" w:hAnsi="宋体"/>
          <w:color w:val="auto"/>
        </w:rPr>
        <w:t>5、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adjustRightInd w:val="0"/>
        <w:snapToGrid w:val="0"/>
        <w:spacing w:line="360" w:lineRule="auto"/>
        <w:ind w:left="325" w:hanging="325" w:hangingChars="155"/>
        <w:rPr>
          <w:rFonts w:ascii="宋体" w:hAnsi="宋体"/>
          <w:color w:val="auto"/>
        </w:rPr>
      </w:pPr>
      <w:r>
        <w:rPr>
          <w:rFonts w:hint="eastAsia" w:ascii="宋体" w:hAnsi="宋体"/>
          <w:color w:val="auto"/>
        </w:rPr>
        <w:t>6、评标委员会将审查投标文件是否完整、有关资格证明文件是否齐全有效、是否提交投标保证金、文件签署是否合格、投标有效期是否满足要求、投标文件的总体编排是否基本有序等。</w:t>
      </w:r>
    </w:p>
    <w:p>
      <w:pPr>
        <w:adjustRightInd w:val="0"/>
        <w:snapToGrid w:val="0"/>
        <w:spacing w:line="360" w:lineRule="auto"/>
        <w:ind w:left="325" w:hanging="325" w:hangingChars="155"/>
        <w:rPr>
          <w:rFonts w:ascii="宋体" w:hAnsi="宋体"/>
          <w:color w:val="auto"/>
        </w:rPr>
      </w:pPr>
      <w:r>
        <w:rPr>
          <w:rFonts w:hint="eastAsia" w:ascii="宋体" w:hAnsi="宋体"/>
          <w:color w:val="auto"/>
        </w:rPr>
        <w:t>7、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服务范围、质量和功能；或者实质上与招标文件不一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pPr>
        <w:adjustRightInd w:val="0"/>
        <w:snapToGrid w:val="0"/>
        <w:spacing w:line="360" w:lineRule="auto"/>
        <w:ind w:left="325" w:hanging="325" w:hangingChars="155"/>
        <w:rPr>
          <w:rFonts w:ascii="宋体" w:hAnsi="宋体"/>
          <w:color w:val="auto"/>
        </w:rPr>
      </w:pPr>
      <w:r>
        <w:rPr>
          <w:rFonts w:hint="eastAsia" w:ascii="宋体" w:hAnsi="宋体"/>
          <w:color w:val="auto"/>
        </w:rPr>
        <w:t>8、评标委员会将审查实质参加投标人数是否够3家，以决定是否需废标。</w:t>
      </w:r>
    </w:p>
    <w:p>
      <w:pPr>
        <w:adjustRightInd w:val="0"/>
        <w:snapToGrid w:val="0"/>
        <w:spacing w:line="360" w:lineRule="auto"/>
        <w:ind w:left="325" w:hanging="325" w:hangingChars="155"/>
        <w:rPr>
          <w:rFonts w:ascii="宋体" w:hAnsi="宋体"/>
          <w:color w:val="auto"/>
        </w:rPr>
      </w:pPr>
      <w:r>
        <w:rPr>
          <w:rFonts w:hint="eastAsia" w:ascii="宋体" w:hAnsi="宋体"/>
          <w:color w:val="auto"/>
        </w:rPr>
        <w:t>9、无效投标的认定</w:t>
      </w:r>
    </w:p>
    <w:p>
      <w:pPr>
        <w:adjustRightInd w:val="0"/>
        <w:snapToGrid w:val="0"/>
        <w:spacing w:line="360" w:lineRule="auto"/>
        <w:ind w:left="325" w:hanging="325" w:hangingChars="155"/>
        <w:rPr>
          <w:color w:val="auto"/>
        </w:rPr>
      </w:pPr>
      <w:r>
        <w:rPr>
          <w:rFonts w:hint="eastAsia" w:ascii="宋体" w:hAnsi="宋体"/>
          <w:color w:val="auto"/>
        </w:rPr>
        <w:t>9.1按《初</w:t>
      </w:r>
      <w:r>
        <w:rPr>
          <w:rFonts w:hint="eastAsia"/>
          <w:color w:val="auto"/>
        </w:rPr>
        <w:t>步审查表》（见附表</w:t>
      </w:r>
      <w:r>
        <w:rPr>
          <w:color w:val="auto"/>
        </w:rPr>
        <w:t>1</w:t>
      </w:r>
      <w:r>
        <w:rPr>
          <w:rFonts w:hint="eastAsia"/>
          <w:color w:val="auto"/>
        </w:rPr>
        <w:t>）所列各项，投标文件不满足招标文件要求的，将被认定为无效投标。</w:t>
      </w:r>
    </w:p>
    <w:p>
      <w:pPr>
        <w:pStyle w:val="25"/>
        <w:adjustRightInd w:val="0"/>
        <w:snapToGrid w:val="0"/>
        <w:spacing w:line="360" w:lineRule="auto"/>
        <w:rPr>
          <w:rFonts w:ascii="Times New Roman" w:hAnsi="Times New Roman"/>
          <w:b/>
          <w:color w:val="auto"/>
          <w:szCs w:val="24"/>
        </w:rPr>
      </w:pPr>
      <w:r>
        <w:rPr>
          <w:rFonts w:hint="eastAsia" w:ascii="Times New Roman" w:hAnsi="Times New Roman"/>
          <w:b/>
          <w:color w:val="auto"/>
          <w:szCs w:val="24"/>
        </w:rPr>
        <w:t>三、详细评审</w:t>
      </w:r>
    </w:p>
    <w:p>
      <w:pPr>
        <w:adjustRightInd w:val="0"/>
        <w:snapToGrid w:val="0"/>
        <w:spacing w:line="360" w:lineRule="auto"/>
        <w:ind w:left="325" w:hanging="325" w:hangingChars="155"/>
        <w:rPr>
          <w:rFonts w:ascii="宋体" w:hAnsi="宋体"/>
          <w:color w:val="auto"/>
        </w:rPr>
      </w:pPr>
      <w:r>
        <w:rPr>
          <w:rFonts w:hint="eastAsia" w:ascii="宋体" w:hAnsi="宋体"/>
          <w:color w:val="auto"/>
        </w:rPr>
        <w:t>10、详细评审是对通过初步评审的投标进行技术</w:t>
      </w:r>
      <w:r>
        <w:rPr>
          <w:rFonts w:hint="eastAsia" w:ascii="宋体"/>
          <w:color w:val="auto"/>
        </w:rPr>
        <w:t>(服务方案)</w:t>
      </w:r>
      <w:r>
        <w:rPr>
          <w:rFonts w:hint="eastAsia" w:ascii="宋体" w:hAnsi="宋体"/>
          <w:color w:val="auto"/>
        </w:rPr>
        <w:t>、商务和价格的评审。</w:t>
      </w:r>
    </w:p>
    <w:p>
      <w:pPr>
        <w:adjustRightInd w:val="0"/>
        <w:snapToGrid w:val="0"/>
        <w:spacing w:line="360" w:lineRule="auto"/>
        <w:ind w:left="325" w:hanging="325" w:hangingChars="155"/>
        <w:rPr>
          <w:rFonts w:ascii="宋体" w:hAnsi="宋体"/>
          <w:color w:val="auto"/>
        </w:rPr>
      </w:pPr>
      <w:r>
        <w:rPr>
          <w:rFonts w:hint="eastAsia" w:ascii="宋体" w:hAnsi="宋体"/>
          <w:color w:val="auto"/>
        </w:rPr>
        <w:t>10.1技术</w:t>
      </w:r>
      <w:r>
        <w:rPr>
          <w:rFonts w:hint="eastAsia" w:ascii="宋体"/>
          <w:color w:val="auto"/>
        </w:rPr>
        <w:t>(服务方案)</w:t>
      </w:r>
      <w:r>
        <w:rPr>
          <w:rFonts w:hint="eastAsia" w:ascii="宋体" w:hAnsi="宋体"/>
          <w:color w:val="auto"/>
        </w:rPr>
        <w:t>评分：评标委员会就投标人对技术响应表中各项要求的响应程度、</w:t>
      </w:r>
      <w:r>
        <w:rPr>
          <w:rFonts w:hint="eastAsia" w:ascii="宋体"/>
          <w:color w:val="auto"/>
        </w:rPr>
        <w:t>对本项目提出的服务方案（包括人力、物力、技术力量以及对服务内容的理解、具体实施的计划、方法、质量保证措施、成果提交等）满足用户需求书的情况进行</w:t>
      </w:r>
      <w:r>
        <w:rPr>
          <w:rFonts w:hint="eastAsia" w:ascii="宋体" w:hAnsi="宋体"/>
          <w:color w:val="auto"/>
        </w:rPr>
        <w:t>评分，各因素所占权重见《技术评审表》（附表2），评分统计按本评标方法4.1条规定进行。</w:t>
      </w:r>
    </w:p>
    <w:p>
      <w:pPr>
        <w:adjustRightInd w:val="0"/>
        <w:snapToGrid w:val="0"/>
        <w:spacing w:line="360" w:lineRule="auto"/>
        <w:ind w:left="325" w:hanging="325" w:hangingChars="155"/>
        <w:rPr>
          <w:rFonts w:ascii="宋体" w:hAnsi="宋体"/>
          <w:color w:val="auto"/>
        </w:rPr>
      </w:pPr>
      <w:r>
        <w:rPr>
          <w:rFonts w:hint="eastAsia" w:ascii="宋体" w:hAnsi="宋体"/>
          <w:color w:val="auto"/>
        </w:rPr>
        <w:t>10.2商务评分：评标委员会就投标人对商务响应表中各项条款的响应程度、履约能力、服务业绩、服务商信誉（如银行信用、合同信用）、售后服务承诺等因素进行评分，各因素所占权重见《商务评审表》（附表2），评分统计方法如前所述。</w:t>
      </w:r>
    </w:p>
    <w:p>
      <w:pPr>
        <w:adjustRightInd w:val="0"/>
        <w:snapToGrid w:val="0"/>
        <w:spacing w:line="360" w:lineRule="auto"/>
        <w:ind w:left="325" w:hanging="325" w:hangingChars="155"/>
        <w:rPr>
          <w:rFonts w:ascii="宋体" w:hAnsi="宋体"/>
          <w:color w:val="auto"/>
        </w:rPr>
      </w:pPr>
      <w:r>
        <w:rPr>
          <w:rFonts w:hint="eastAsia" w:ascii="宋体" w:hAnsi="宋体"/>
          <w:color w:val="auto"/>
        </w:rPr>
        <w:t>10.3价格评分：将评委会校核后的各投标人的投标总价定义为评标价格。取各评标价格的最低价作为评标基准价格。各投标人的价格评分按以下公式计算：</w:t>
      </w:r>
    </w:p>
    <w:p>
      <w:pPr>
        <w:adjustRightInd w:val="0"/>
        <w:snapToGrid w:val="0"/>
        <w:spacing w:line="360" w:lineRule="auto"/>
        <w:ind w:left="325" w:hanging="325" w:hangingChars="155"/>
        <w:rPr>
          <w:rFonts w:ascii="宋体" w:hAnsi="宋体"/>
          <w:color w:val="auto"/>
        </w:rPr>
      </w:pPr>
      <w:r>
        <w:rPr>
          <w:rFonts w:hint="eastAsia" w:ascii="宋体" w:hAnsi="宋体"/>
          <w:color w:val="auto"/>
        </w:rPr>
        <w:t>注：投标总价为第38页投标报价总表的“总计”金额。</w:t>
      </w:r>
    </w:p>
    <w:p>
      <w:pPr>
        <w:adjustRightInd w:val="0"/>
        <w:snapToGrid w:val="0"/>
        <w:spacing w:line="360" w:lineRule="auto"/>
        <w:ind w:left="325" w:hanging="325" w:hangingChars="155"/>
        <w:rPr>
          <w:rFonts w:ascii="宋体" w:hAnsi="宋体"/>
          <w:color w:val="auto"/>
        </w:rPr>
      </w:pPr>
      <w:r>
        <w:rPr>
          <w:rFonts w:hint="eastAsia" w:ascii="宋体" w:hAnsi="宋体"/>
          <w:color w:val="auto"/>
        </w:rPr>
        <w:t xml:space="preserve">      价格评分=（评标基准价格/评标价格）×100</w:t>
      </w:r>
    </w:p>
    <w:p>
      <w:pPr>
        <w:adjustRightInd w:val="0"/>
        <w:snapToGrid w:val="0"/>
        <w:spacing w:line="360" w:lineRule="auto"/>
        <w:ind w:left="325" w:hanging="325" w:hangingChars="155"/>
        <w:rPr>
          <w:rFonts w:ascii="宋体" w:hAnsi="宋体"/>
          <w:color w:val="auto"/>
        </w:rPr>
      </w:pPr>
      <w:r>
        <w:rPr>
          <w:rFonts w:hint="eastAsia" w:ascii="宋体" w:hAnsi="宋体"/>
          <w:color w:val="auto"/>
        </w:rPr>
        <w:t>11、评分总值最高为100分，技术、商务及价格评分分值（权重）分配：</w:t>
      </w:r>
    </w:p>
    <w:tbl>
      <w:tblPr>
        <w:tblStyle w:val="58"/>
        <w:tblW w:w="8725" w:type="dxa"/>
        <w:tblInd w:w="58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5"/>
        <w:gridCol w:w="1974"/>
        <w:gridCol w:w="2459"/>
        <w:gridCol w:w="21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125"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rPr>
              <w:t>评分项目</w:t>
            </w:r>
          </w:p>
        </w:tc>
        <w:tc>
          <w:tcPr>
            <w:tcW w:w="197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rPr>
              <w:t>技术评分</w:t>
            </w:r>
          </w:p>
        </w:tc>
        <w:tc>
          <w:tcPr>
            <w:tcW w:w="2459"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rPr>
              <w:t>商务评分</w:t>
            </w:r>
          </w:p>
        </w:tc>
        <w:tc>
          <w:tcPr>
            <w:tcW w:w="2167"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125"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rPr>
              <w:t>权重</w:t>
            </w:r>
            <w:r>
              <w:rPr>
                <w:rFonts w:hint="eastAsia" w:ascii="宋体" w:hAnsi="宋体"/>
                <w:i/>
                <w:color w:val="auto"/>
              </w:rPr>
              <w:t>（总和为100%）</w:t>
            </w:r>
          </w:p>
        </w:tc>
        <w:tc>
          <w:tcPr>
            <w:tcW w:w="197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szCs w:val="21"/>
              </w:rPr>
              <w:t>55%</w:t>
            </w:r>
          </w:p>
        </w:tc>
        <w:tc>
          <w:tcPr>
            <w:tcW w:w="2459"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olor w:val="auto"/>
              </w:rPr>
            </w:pPr>
            <w:r>
              <w:rPr>
                <w:rFonts w:hint="eastAsia" w:ascii="宋体" w:hAnsi="宋体"/>
                <w:color w:val="auto"/>
                <w:szCs w:val="21"/>
              </w:rPr>
              <w:t>35%</w:t>
            </w:r>
          </w:p>
        </w:tc>
        <w:tc>
          <w:tcPr>
            <w:tcW w:w="2167"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i/>
                <w:color w:val="auto"/>
              </w:rPr>
            </w:pPr>
            <w:r>
              <w:rPr>
                <w:rFonts w:hint="eastAsia" w:ascii="宋体" w:hAnsi="宋体"/>
                <w:color w:val="auto"/>
                <w:szCs w:val="21"/>
              </w:rPr>
              <w:t>10%</w:t>
            </w:r>
          </w:p>
        </w:tc>
      </w:tr>
    </w:tbl>
    <w:p>
      <w:pPr>
        <w:snapToGrid w:val="0"/>
        <w:spacing w:line="360" w:lineRule="auto"/>
        <w:ind w:left="420" w:leftChars="200" w:firstLine="420" w:firstLineChars="200"/>
        <w:rPr>
          <w:rFonts w:ascii="宋体" w:hAnsi="宋体"/>
          <w:color w:val="auto"/>
        </w:rPr>
      </w:pPr>
      <w:r>
        <w:rPr>
          <w:rFonts w:hint="eastAsia" w:ascii="宋体" w:hAnsi="宋体"/>
          <w:color w:val="auto"/>
        </w:rPr>
        <w:t>根据上述技术、商务及价格的综合评分及其权重分配，代入下列公式计算各投标人的总得分。进入详细评审的各投标人的综合得分，按得分从高到低排名（得分相同时，投标总价低者优先）。</w:t>
      </w:r>
    </w:p>
    <w:p>
      <w:pPr>
        <w:snapToGrid w:val="0"/>
        <w:spacing w:line="360" w:lineRule="auto"/>
        <w:ind w:left="420" w:leftChars="200" w:firstLine="420" w:firstLineChars="200"/>
        <w:rPr>
          <w:rFonts w:ascii="宋体" w:hAnsi="宋体"/>
          <w:color w:val="auto"/>
        </w:rPr>
      </w:pPr>
      <w:r>
        <w:rPr>
          <w:rFonts w:hint="eastAsia" w:ascii="宋体" w:hAnsi="宋体"/>
          <w:color w:val="auto"/>
        </w:rPr>
        <w:t>评标总得分= F1×A1＋F2×A2＋F3×A3</w:t>
      </w:r>
    </w:p>
    <w:p>
      <w:pPr>
        <w:snapToGrid w:val="0"/>
        <w:spacing w:line="360" w:lineRule="auto"/>
        <w:ind w:left="420" w:leftChars="200" w:firstLine="420" w:firstLineChars="200"/>
        <w:rPr>
          <w:rFonts w:ascii="宋体" w:hAnsi="宋体"/>
          <w:color w:val="auto"/>
        </w:rPr>
      </w:pPr>
      <w:r>
        <w:rPr>
          <w:rFonts w:hint="eastAsia" w:ascii="宋体" w:hAnsi="宋体"/>
          <w:color w:val="auto"/>
        </w:rPr>
        <w:t>其中，F1、F2、F3分别为技术、商务及价格评分的汇总得分；A1、A2、A3分别为技术、商务及价格评分所占权重值（A1＋A2＋A3=1）。</w:t>
      </w:r>
    </w:p>
    <w:p>
      <w:pPr>
        <w:pStyle w:val="25"/>
        <w:adjustRightInd w:val="0"/>
        <w:snapToGrid w:val="0"/>
        <w:spacing w:line="360" w:lineRule="auto"/>
        <w:rPr>
          <w:rFonts w:ascii="Times New Roman" w:hAnsi="Times New Roman"/>
          <w:b/>
          <w:color w:val="auto"/>
          <w:szCs w:val="24"/>
        </w:rPr>
      </w:pPr>
      <w:r>
        <w:rPr>
          <w:rFonts w:hint="eastAsia" w:ascii="Times New Roman" w:hAnsi="Times New Roman"/>
          <w:b/>
          <w:color w:val="auto"/>
          <w:szCs w:val="24"/>
        </w:rPr>
        <w:t>四、招标失败时的处理</w:t>
      </w:r>
    </w:p>
    <w:p>
      <w:pPr>
        <w:tabs>
          <w:tab w:val="left" w:pos="1260"/>
        </w:tabs>
        <w:snapToGrid w:val="0"/>
        <w:spacing w:line="360" w:lineRule="exact"/>
        <w:ind w:firstLine="315" w:firstLineChars="150"/>
        <w:jc w:val="both"/>
        <w:rPr>
          <w:rFonts w:ascii="宋体"/>
          <w:color w:val="auto"/>
        </w:rPr>
      </w:pPr>
      <w:r>
        <w:rPr>
          <w:rFonts w:hint="eastAsia" w:ascii="宋体"/>
          <w:color w:val="auto"/>
        </w:rPr>
        <w:t>1）如果本项目投标截止后递交投标文件的投标人少于3家，或通过初步评审的投标人不足3家时，本项目将作招标失败处理并重新进行采购，同时采购代理机构将原封退回收到的任何投标文件（</w:t>
      </w:r>
      <w:r>
        <w:rPr>
          <w:rFonts w:ascii="宋体"/>
          <w:color w:val="auto"/>
        </w:rPr>
        <w:t>已经开标</w:t>
      </w:r>
      <w:r>
        <w:rPr>
          <w:rFonts w:hint="eastAsia" w:ascii="宋体"/>
          <w:color w:val="auto"/>
        </w:rPr>
        <w:t>的则不再</w:t>
      </w:r>
      <w:r>
        <w:rPr>
          <w:rFonts w:ascii="宋体"/>
          <w:color w:val="auto"/>
        </w:rPr>
        <w:t>退回</w:t>
      </w:r>
      <w:r>
        <w:rPr>
          <w:rFonts w:hint="eastAsia" w:ascii="宋体"/>
          <w:color w:val="auto"/>
        </w:rPr>
        <w:t>投标文件），并对受影响的投标人不承担任何责任。但如果采购人提出更改采购方式的要求，且经中山市政府采购管理办公室批准的情况下，本项目由公开招标方式转为竞争性谈判或单一来源采购方式继续进行。</w:t>
      </w:r>
    </w:p>
    <w:p>
      <w:pPr>
        <w:tabs>
          <w:tab w:val="left" w:pos="1260"/>
        </w:tabs>
        <w:snapToGrid w:val="0"/>
        <w:spacing w:line="360" w:lineRule="exact"/>
        <w:ind w:firstLine="315" w:firstLineChars="150"/>
        <w:jc w:val="both"/>
        <w:rPr>
          <w:rFonts w:ascii="宋体"/>
          <w:color w:val="auto"/>
        </w:rPr>
      </w:pPr>
      <w:r>
        <w:rPr>
          <w:rFonts w:hint="eastAsia" w:ascii="宋体"/>
          <w:color w:val="auto"/>
        </w:rPr>
        <w:t>2）以竞争性谈判的采购方式继续进行时，已递交招标文件的投标人自动转为竞争性谈判的报价人，报价人的报价文件参照原投标文件，谈判文件参照原招标文件，评标委员会更改为谈判小组，评审办法更改为以经评审的最低价法确定成交候选人（最低报价必须符合国家相关法规）。但在出现最终报价相同时，评委将按本评标办法中附表2和附表3对最终报价相同的报价人进行技术、商务评审，将各评委的技术、商务评分去掉一个最高分和一个最低分，其余评委评分的算术平均值即为该投标人的技术、商务评分，并依次推荐技术商务得分最高及次高的报价人为第一及第二成交候选人。</w:t>
      </w:r>
    </w:p>
    <w:p>
      <w:pPr>
        <w:tabs>
          <w:tab w:val="left" w:pos="1260"/>
          <w:tab w:val="left" w:pos="1785"/>
        </w:tabs>
        <w:snapToGrid w:val="0"/>
        <w:spacing w:line="360" w:lineRule="exact"/>
        <w:ind w:firstLine="315" w:firstLineChars="150"/>
        <w:jc w:val="both"/>
        <w:rPr>
          <w:rFonts w:ascii="宋体"/>
          <w:color w:val="auto"/>
        </w:rPr>
      </w:pPr>
      <w:r>
        <w:rPr>
          <w:rFonts w:hint="eastAsia" w:ascii="宋体"/>
          <w:color w:val="auto"/>
        </w:rPr>
        <w:t>3）以单一来源采购的采购方式继续进行时，已递交招标文件的唯一投标人自动转为单一来源采购的报价人，报价人的报价文件参照原投标文件，采购文件参照原招标文件，评标委员会更改为谈判小组，谈判小组集中与单一来源采购的报价人进行谈判，如果谈判小组认可报价人的最终报价文件符合采购要求的，该报价人将被推荐为成交候选人。</w:t>
      </w:r>
    </w:p>
    <w:p>
      <w:pPr>
        <w:pStyle w:val="25"/>
        <w:adjustRightInd w:val="0"/>
        <w:snapToGrid w:val="0"/>
        <w:spacing w:line="360" w:lineRule="auto"/>
        <w:rPr>
          <w:rFonts w:ascii="Times New Roman" w:hAnsi="Times New Roman"/>
          <w:b/>
          <w:color w:val="auto"/>
          <w:szCs w:val="24"/>
        </w:rPr>
      </w:pPr>
      <w:r>
        <w:rPr>
          <w:rFonts w:hint="eastAsia" w:ascii="Times New Roman" w:hAnsi="Times New Roman"/>
          <w:b/>
          <w:color w:val="auto"/>
          <w:szCs w:val="24"/>
        </w:rPr>
        <w:t>五、中标候选人</w:t>
      </w:r>
    </w:p>
    <w:p>
      <w:pPr>
        <w:adjustRightInd w:val="0"/>
        <w:snapToGrid w:val="0"/>
        <w:spacing w:line="360" w:lineRule="auto"/>
        <w:ind w:left="325" w:hanging="325" w:hangingChars="155"/>
        <w:rPr>
          <w:rFonts w:ascii="宋体" w:hAnsi="宋体"/>
          <w:color w:val="auto"/>
        </w:rPr>
      </w:pPr>
      <w:r>
        <w:rPr>
          <w:rFonts w:hint="eastAsia" w:ascii="宋体" w:hAnsi="宋体"/>
          <w:color w:val="auto"/>
        </w:rPr>
        <w:t>12、评标委员会将出具评标报告，并排序推荐两位中标候选人。</w:t>
      </w:r>
    </w:p>
    <w:p>
      <w:pPr>
        <w:adjustRightInd w:val="0"/>
        <w:snapToGrid w:val="0"/>
        <w:spacing w:line="360" w:lineRule="auto"/>
        <w:ind w:left="325" w:hanging="325" w:hangingChars="155"/>
        <w:rPr>
          <w:rFonts w:ascii="宋体" w:hAnsi="宋体"/>
          <w:color w:val="auto"/>
        </w:rPr>
      </w:pPr>
      <w:r>
        <w:rPr>
          <w:rFonts w:hint="eastAsia" w:ascii="宋体" w:hAnsi="宋体"/>
          <w:color w:val="auto"/>
        </w:rPr>
        <w:t>12.1推荐中标候选投标人名单：本项目推荐两名中标候选人。将各有效投标人按其评标总得分由高到低顺序排列。评标总得分相同的，按下列顺序比较确定：（1）投标报价（由低到高）；（2）技术评分（由高到低）；（3）商务评分（由高到低）。如以上都相同的，名次由评标委员会抽签确定。排名第一的投标人为第一中标候选人，排名第二的投标人为第二中标候选人</w:t>
      </w:r>
      <w:r>
        <w:rPr>
          <w:rFonts w:hint="eastAsia" w:ascii="宋体" w:hAnsi="宋体"/>
          <w:color w:val="auto"/>
          <w:szCs w:val="21"/>
        </w:rPr>
        <w:t>，排名第三的投标人为第三中标候选人</w:t>
      </w:r>
      <w:r>
        <w:rPr>
          <w:rFonts w:hint="eastAsia" w:ascii="宋体" w:hAnsi="宋体"/>
          <w:color w:val="auto"/>
        </w:rPr>
        <w:t>。</w:t>
      </w:r>
    </w:p>
    <w:p>
      <w:pPr>
        <w:adjustRightInd w:val="0"/>
        <w:snapToGrid w:val="0"/>
        <w:spacing w:line="360" w:lineRule="auto"/>
        <w:ind w:left="325" w:hanging="325" w:hangingChars="155"/>
        <w:rPr>
          <w:rFonts w:ascii="宋体" w:hAnsi="宋体"/>
          <w:color w:val="auto"/>
        </w:rPr>
      </w:pPr>
      <w:r>
        <w:rPr>
          <w:rFonts w:hint="eastAsia" w:ascii="宋体" w:hAnsi="宋体"/>
          <w:color w:val="auto"/>
        </w:rPr>
        <w:t>12.2中标价的确定：中标价以开标时公开唱读额为准；如有缺项、漏项，视为已包含在中标价中。</w:t>
      </w:r>
    </w:p>
    <w:p>
      <w:pPr>
        <w:adjustRightInd w:val="0"/>
        <w:snapToGrid w:val="0"/>
        <w:spacing w:line="360" w:lineRule="auto"/>
        <w:ind w:left="325" w:hanging="325" w:hangingChars="155"/>
        <w:rPr>
          <w:b/>
          <w:color w:val="auto"/>
          <w:spacing w:val="20"/>
          <w:sz w:val="28"/>
          <w:szCs w:val="28"/>
        </w:rPr>
        <w:sectPr>
          <w:footerReference r:id="rId8" w:type="even"/>
          <w:pgSz w:w="11907" w:h="16840"/>
          <w:pgMar w:top="1418" w:right="1304" w:bottom="1418" w:left="1304" w:header="794" w:footer="794" w:gutter="0"/>
          <w:cols w:space="720" w:num="1"/>
          <w:docGrid w:linePitch="285" w:charSpace="0"/>
        </w:sectPr>
      </w:pPr>
      <w:r>
        <w:rPr>
          <w:rFonts w:hint="eastAsia" w:ascii="宋体" w:hAnsi="宋体"/>
          <w:color w:val="auto"/>
        </w:rPr>
        <w:t>12.3根据评标委员会的评标结果，采购人依法确定中标人，也可以事先授权评标委员会直接确定中标人。</w:t>
      </w:r>
      <w:bookmarkStart w:id="1" w:name="_Toc224015934"/>
    </w:p>
    <w:p>
      <w:pPr>
        <w:jc w:val="both"/>
        <w:outlineLvl w:val="0"/>
        <w:rPr>
          <w:b/>
          <w:color w:val="auto"/>
          <w:spacing w:val="20"/>
          <w:sz w:val="28"/>
          <w:szCs w:val="28"/>
        </w:rPr>
      </w:pPr>
    </w:p>
    <w:p>
      <w:pPr>
        <w:jc w:val="both"/>
        <w:outlineLvl w:val="0"/>
        <w:rPr>
          <w:b/>
          <w:color w:val="auto"/>
          <w:spacing w:val="20"/>
          <w:sz w:val="28"/>
          <w:szCs w:val="28"/>
        </w:rPr>
      </w:pPr>
      <w:r>
        <w:rPr>
          <w:rFonts w:hint="eastAsia"/>
          <w:b/>
          <w:color w:val="auto"/>
          <w:spacing w:val="20"/>
          <w:sz w:val="28"/>
          <w:szCs w:val="28"/>
        </w:rPr>
        <w:t>附表</w:t>
      </w:r>
      <w:r>
        <w:rPr>
          <w:b/>
          <w:color w:val="auto"/>
          <w:spacing w:val="20"/>
          <w:sz w:val="28"/>
          <w:szCs w:val="28"/>
        </w:rPr>
        <w:t>1</w:t>
      </w:r>
      <w:r>
        <w:rPr>
          <w:rFonts w:hint="eastAsia"/>
          <w:b/>
          <w:color w:val="auto"/>
          <w:spacing w:val="20"/>
          <w:sz w:val="28"/>
          <w:szCs w:val="28"/>
        </w:rPr>
        <w:t>：                           初步审查表</w:t>
      </w:r>
    </w:p>
    <w:p>
      <w:pPr>
        <w:spacing w:line="440" w:lineRule="exact"/>
        <w:ind w:left="-178" w:leftChars="-85" w:right="-414" w:rightChars="-197" w:firstLine="525" w:firstLineChars="250"/>
        <w:rPr>
          <w:color w:val="auto"/>
          <w:szCs w:val="21"/>
        </w:rPr>
      </w:pPr>
      <w:r>
        <w:rPr>
          <w:rFonts w:hint="eastAsia"/>
          <w:color w:val="auto"/>
          <w:szCs w:val="21"/>
        </w:rPr>
        <w:t>项目名称：</w:t>
      </w:r>
      <w:r>
        <w:rPr>
          <w:color w:val="auto"/>
          <w:szCs w:val="21"/>
        </w:rPr>
        <w:t xml:space="preserve">                                                                                              </w:t>
      </w:r>
      <w:r>
        <w:rPr>
          <w:rFonts w:hint="eastAsia"/>
          <w:color w:val="auto"/>
          <w:szCs w:val="21"/>
        </w:rPr>
        <w:t>招标编号：</w:t>
      </w:r>
      <w:r>
        <w:rPr>
          <w:color w:val="auto"/>
          <w:szCs w:val="21"/>
        </w:rPr>
        <w:t xml:space="preserve"> </w:t>
      </w:r>
    </w:p>
    <w:tbl>
      <w:tblPr>
        <w:tblStyle w:val="58"/>
        <w:tblW w:w="1423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1"/>
        <w:gridCol w:w="2463"/>
        <w:gridCol w:w="898"/>
        <w:gridCol w:w="1078"/>
        <w:gridCol w:w="898"/>
        <w:gridCol w:w="898"/>
        <w:gridCol w:w="898"/>
        <w:gridCol w:w="841"/>
        <w:gridCol w:w="1278"/>
        <w:gridCol w:w="1080"/>
        <w:gridCol w:w="1080"/>
        <w:gridCol w:w="1356"/>
        <w:gridCol w:w="10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trPr>
        <w:tc>
          <w:tcPr>
            <w:tcW w:w="411" w:type="dxa"/>
            <w:tcBorders>
              <w:top w:val="single" w:color="auto" w:sz="12" w:space="0"/>
              <w:left w:val="single" w:color="auto" w:sz="12" w:space="0"/>
              <w:bottom w:val="single" w:color="auto" w:sz="4" w:space="0"/>
              <w:right w:val="single" w:color="auto" w:sz="4" w:space="0"/>
            </w:tcBorders>
            <w:vAlign w:val="center"/>
          </w:tcPr>
          <w:p>
            <w:pPr>
              <w:rPr>
                <w:b/>
                <w:color w:val="auto"/>
                <w:sz w:val="18"/>
                <w:szCs w:val="18"/>
              </w:rPr>
            </w:pPr>
            <w:r>
              <w:rPr>
                <w:rFonts w:hint="eastAsia"/>
                <w:b/>
                <w:color w:val="auto"/>
                <w:sz w:val="18"/>
                <w:szCs w:val="18"/>
              </w:rPr>
              <w:t>序号</w:t>
            </w:r>
          </w:p>
        </w:tc>
        <w:tc>
          <w:tcPr>
            <w:tcW w:w="2463"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投标人</w:t>
            </w:r>
            <w:r>
              <w:rPr>
                <w:color w:val="auto"/>
                <w:sz w:val="18"/>
                <w:szCs w:val="18"/>
              </w:rPr>
              <w:t xml:space="preserve"> </w:t>
            </w:r>
          </w:p>
        </w:tc>
        <w:tc>
          <w:tcPr>
            <w:tcW w:w="898"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w:t>
            </w:r>
          </w:p>
          <w:p>
            <w:pPr>
              <w:jc w:val="center"/>
              <w:rPr>
                <w:color w:val="auto"/>
                <w:sz w:val="18"/>
                <w:szCs w:val="18"/>
              </w:rPr>
            </w:pPr>
            <w:r>
              <w:rPr>
                <w:rFonts w:hint="eastAsia"/>
                <w:color w:val="auto"/>
                <w:sz w:val="18"/>
                <w:szCs w:val="18"/>
              </w:rPr>
              <w:t>保证金已递交</w:t>
            </w:r>
          </w:p>
        </w:tc>
        <w:tc>
          <w:tcPr>
            <w:tcW w:w="1078"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投标人符合合格的投标人的条件</w:t>
            </w:r>
          </w:p>
        </w:tc>
        <w:tc>
          <w:tcPr>
            <w:tcW w:w="898"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w:t>
            </w:r>
          </w:p>
          <w:p>
            <w:pPr>
              <w:jc w:val="center"/>
              <w:rPr>
                <w:color w:val="auto"/>
                <w:sz w:val="18"/>
                <w:szCs w:val="18"/>
              </w:rPr>
            </w:pPr>
            <w:r>
              <w:rPr>
                <w:rFonts w:hint="eastAsia"/>
                <w:color w:val="auto"/>
                <w:sz w:val="18"/>
                <w:szCs w:val="18"/>
              </w:rPr>
              <w:t>有效期符合要求</w:t>
            </w:r>
          </w:p>
        </w:tc>
        <w:tc>
          <w:tcPr>
            <w:tcW w:w="898"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投标文件主要资料齐全</w:t>
            </w:r>
          </w:p>
        </w:tc>
        <w:tc>
          <w:tcPr>
            <w:tcW w:w="898"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投标文件签署合格</w:t>
            </w:r>
          </w:p>
        </w:tc>
        <w:tc>
          <w:tcPr>
            <w:tcW w:w="841"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投标价格是唯一固定价</w:t>
            </w:r>
          </w:p>
        </w:tc>
        <w:tc>
          <w:tcPr>
            <w:tcW w:w="1278"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投标报价无重大漏项或重大不合理</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服务方案满足《用户需求书》要求</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商务无</w:t>
            </w:r>
          </w:p>
          <w:p>
            <w:pPr>
              <w:jc w:val="center"/>
              <w:rPr>
                <w:color w:val="auto"/>
                <w:sz w:val="18"/>
                <w:szCs w:val="18"/>
              </w:rPr>
            </w:pPr>
            <w:r>
              <w:rPr>
                <w:rFonts w:hint="eastAsia"/>
                <w:color w:val="auto"/>
                <w:sz w:val="18"/>
                <w:szCs w:val="18"/>
              </w:rPr>
              <w:t>重大保留或偏差</w:t>
            </w:r>
          </w:p>
        </w:tc>
        <w:tc>
          <w:tcPr>
            <w:tcW w:w="1356"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实质性响应招标文件</w:t>
            </w:r>
          </w:p>
        </w:tc>
        <w:tc>
          <w:tcPr>
            <w:tcW w:w="1059" w:type="dxa"/>
            <w:tcBorders>
              <w:top w:val="single" w:color="auto" w:sz="12" w:space="0"/>
              <w:left w:val="single" w:color="auto" w:sz="4" w:space="0"/>
              <w:bottom w:val="single" w:color="auto" w:sz="4" w:space="0"/>
              <w:right w:val="single" w:color="auto" w:sz="12" w:space="0"/>
            </w:tcBorders>
            <w:vAlign w:val="center"/>
          </w:tcPr>
          <w:p>
            <w:pPr>
              <w:jc w:val="center"/>
              <w:rPr>
                <w:color w:val="auto"/>
                <w:sz w:val="18"/>
                <w:szCs w:val="18"/>
              </w:rPr>
            </w:pPr>
            <w:r>
              <w:rPr>
                <w:rFonts w:hint="eastAsia"/>
                <w:color w:val="auto"/>
                <w:sz w:val="18"/>
                <w:szCs w:val="18"/>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41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color w:val="auto"/>
                <w:sz w:val="24"/>
              </w:rPr>
            </w:pPr>
            <w:r>
              <w:rPr>
                <w:color w:val="auto"/>
                <w:sz w:val="24"/>
              </w:rPr>
              <w:t>1</w:t>
            </w:r>
          </w:p>
        </w:tc>
        <w:tc>
          <w:tcPr>
            <w:tcW w:w="2463"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41"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59" w:type="dxa"/>
            <w:tcBorders>
              <w:top w:val="single" w:color="auto" w:sz="4" w:space="0"/>
              <w:left w:val="single" w:color="auto" w:sz="4" w:space="0"/>
              <w:bottom w:val="single" w:color="auto" w:sz="4" w:space="0"/>
              <w:right w:val="single" w:color="auto" w:sz="12" w:space="0"/>
            </w:tcBorders>
          </w:tcPr>
          <w:p>
            <w:pPr>
              <w:spacing w:line="360" w:lineRule="auto"/>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41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color w:val="auto"/>
                <w:sz w:val="24"/>
              </w:rPr>
            </w:pPr>
            <w:r>
              <w:rPr>
                <w:color w:val="auto"/>
                <w:sz w:val="24"/>
              </w:rPr>
              <w:t>2</w:t>
            </w:r>
          </w:p>
        </w:tc>
        <w:tc>
          <w:tcPr>
            <w:tcW w:w="2463" w:type="dxa"/>
            <w:tcBorders>
              <w:top w:val="single" w:color="auto" w:sz="4" w:space="0"/>
              <w:left w:val="single" w:color="auto" w:sz="4" w:space="0"/>
              <w:bottom w:val="single" w:color="auto" w:sz="4" w:space="0"/>
              <w:right w:val="single" w:color="auto" w:sz="4" w:space="0"/>
            </w:tcBorders>
          </w:tcPr>
          <w:p>
            <w:pPr>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rPr>
                <w:color w:val="auto"/>
                <w:sz w:val="24"/>
              </w:rPr>
            </w:pPr>
          </w:p>
        </w:tc>
        <w:tc>
          <w:tcPr>
            <w:tcW w:w="10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41"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59" w:type="dxa"/>
            <w:tcBorders>
              <w:top w:val="single" w:color="auto" w:sz="4" w:space="0"/>
              <w:left w:val="single" w:color="auto" w:sz="4" w:space="0"/>
              <w:bottom w:val="single" w:color="auto" w:sz="4" w:space="0"/>
              <w:right w:val="single" w:color="auto" w:sz="12" w:space="0"/>
            </w:tcBorders>
          </w:tcPr>
          <w:p>
            <w:pPr>
              <w:spacing w:line="360" w:lineRule="auto"/>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41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color w:val="auto"/>
                <w:sz w:val="24"/>
              </w:rPr>
            </w:pPr>
            <w:r>
              <w:rPr>
                <w:color w:val="auto"/>
                <w:sz w:val="24"/>
              </w:rPr>
              <w:t>3</w:t>
            </w:r>
          </w:p>
        </w:tc>
        <w:tc>
          <w:tcPr>
            <w:tcW w:w="2463"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41"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59" w:type="dxa"/>
            <w:tcBorders>
              <w:top w:val="single" w:color="auto" w:sz="4" w:space="0"/>
              <w:left w:val="single" w:color="auto" w:sz="4" w:space="0"/>
              <w:bottom w:val="single" w:color="auto" w:sz="4" w:space="0"/>
              <w:right w:val="single" w:color="auto" w:sz="12" w:space="0"/>
            </w:tcBorders>
          </w:tcPr>
          <w:p>
            <w:pPr>
              <w:spacing w:line="360" w:lineRule="auto"/>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41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color w:val="auto"/>
                <w:sz w:val="24"/>
              </w:rPr>
            </w:pPr>
            <w:r>
              <w:rPr>
                <w:color w:val="auto"/>
                <w:sz w:val="24"/>
              </w:rPr>
              <w:t>4</w:t>
            </w:r>
          </w:p>
        </w:tc>
        <w:tc>
          <w:tcPr>
            <w:tcW w:w="2463"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9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841"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color w:val="auto"/>
                <w:sz w:val="24"/>
              </w:rPr>
            </w:pPr>
          </w:p>
        </w:tc>
        <w:tc>
          <w:tcPr>
            <w:tcW w:w="1059" w:type="dxa"/>
            <w:tcBorders>
              <w:top w:val="single" w:color="auto" w:sz="4" w:space="0"/>
              <w:left w:val="single" w:color="auto" w:sz="4" w:space="0"/>
              <w:bottom w:val="single" w:color="auto" w:sz="4" w:space="0"/>
              <w:right w:val="single" w:color="auto" w:sz="12" w:space="0"/>
            </w:tcBorders>
          </w:tcPr>
          <w:p>
            <w:pPr>
              <w:spacing w:line="360" w:lineRule="auto"/>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3" w:hRule="atLeast"/>
        </w:trPr>
        <w:tc>
          <w:tcPr>
            <w:tcW w:w="14238" w:type="dxa"/>
            <w:gridSpan w:val="13"/>
            <w:tcBorders>
              <w:top w:val="single" w:color="auto" w:sz="4" w:space="0"/>
              <w:left w:val="single" w:color="auto" w:sz="12" w:space="0"/>
              <w:bottom w:val="single" w:color="auto" w:sz="12" w:space="0"/>
              <w:right w:val="single" w:color="auto" w:sz="12" w:space="0"/>
            </w:tcBorders>
          </w:tcPr>
          <w:p>
            <w:pPr>
              <w:spacing w:line="360" w:lineRule="auto"/>
              <w:rPr>
                <w:color w:val="auto"/>
                <w:sz w:val="24"/>
              </w:rPr>
            </w:pPr>
            <w:r>
              <w:rPr>
                <w:rFonts w:hint="eastAsia"/>
                <w:color w:val="auto"/>
                <w:sz w:val="18"/>
                <w:szCs w:val="18"/>
              </w:rPr>
              <w:t>打“</w:t>
            </w:r>
            <w:r>
              <w:rPr>
                <w:rFonts w:hint="eastAsia" w:ascii="宋体" w:hAnsi="宋体"/>
                <w:color w:val="auto"/>
                <w:sz w:val="18"/>
                <w:szCs w:val="18"/>
              </w:rPr>
              <w:t>×</w:t>
            </w:r>
            <w:r>
              <w:rPr>
                <w:rFonts w:hint="eastAsia"/>
                <w:color w:val="auto"/>
                <w:sz w:val="18"/>
                <w:szCs w:val="18"/>
              </w:rPr>
              <w:t>”的原因详细说明：</w:t>
            </w:r>
          </w:p>
        </w:tc>
      </w:tr>
    </w:tbl>
    <w:p>
      <w:pPr>
        <w:spacing w:line="400" w:lineRule="exact"/>
        <w:ind w:left="-359" w:leftChars="-171" w:right="-233" w:rightChars="-111" w:firstLine="315" w:firstLineChars="150"/>
        <w:rPr>
          <w:color w:val="auto"/>
          <w:szCs w:val="21"/>
        </w:rPr>
      </w:pPr>
      <w:r>
        <w:rPr>
          <w:rFonts w:hint="eastAsia"/>
          <w:color w:val="auto"/>
          <w:szCs w:val="21"/>
        </w:rPr>
        <w:t>注：</w:t>
      </w:r>
      <w:r>
        <w:rPr>
          <w:color w:val="auto"/>
          <w:szCs w:val="21"/>
        </w:rPr>
        <w:t>1</w:t>
      </w:r>
      <w:r>
        <w:rPr>
          <w:rFonts w:hint="eastAsia"/>
          <w:color w:val="auto"/>
          <w:szCs w:val="21"/>
        </w:rPr>
        <w:t>、符合审查表的打“</w:t>
      </w:r>
      <w:r>
        <w:rPr>
          <w:rFonts w:hint="eastAsia" w:ascii="宋体" w:hAnsi="宋体"/>
          <w:color w:val="auto"/>
          <w:szCs w:val="21"/>
        </w:rPr>
        <w:t>○</w:t>
      </w:r>
      <w:r>
        <w:rPr>
          <w:rFonts w:hint="eastAsia"/>
          <w:color w:val="auto"/>
          <w:szCs w:val="21"/>
        </w:rPr>
        <w:t>”，不符合审查表的打“×”。全部打“</w:t>
      </w:r>
      <w:r>
        <w:rPr>
          <w:rFonts w:hint="eastAsia" w:ascii="宋体" w:hAnsi="宋体"/>
          <w:color w:val="auto"/>
          <w:szCs w:val="21"/>
        </w:rPr>
        <w:t>○</w:t>
      </w:r>
      <w:r>
        <w:rPr>
          <w:rFonts w:hint="eastAsia"/>
          <w:color w:val="auto"/>
          <w:szCs w:val="21"/>
        </w:rPr>
        <w:t>”的结论填写合格，出现一个“×”的结论填写不合格。</w:t>
      </w:r>
    </w:p>
    <w:p>
      <w:pPr>
        <w:spacing w:line="400" w:lineRule="exact"/>
        <w:ind w:left="-359" w:leftChars="-171" w:right="-233" w:rightChars="-111" w:firstLine="2" w:firstLineChars="1"/>
        <w:rPr>
          <w:color w:val="auto"/>
          <w:szCs w:val="21"/>
        </w:rPr>
      </w:pPr>
      <w:r>
        <w:rPr>
          <w:color w:val="auto"/>
          <w:szCs w:val="21"/>
        </w:rPr>
        <w:t xml:space="preserve">       2</w:t>
      </w:r>
      <w:r>
        <w:rPr>
          <w:rFonts w:hint="eastAsia"/>
          <w:color w:val="auto"/>
          <w:szCs w:val="21"/>
        </w:rPr>
        <w:t>、结论为合格的投标人可以进入下一阶段的评审。</w:t>
      </w:r>
    </w:p>
    <w:p>
      <w:pPr>
        <w:spacing w:line="500" w:lineRule="exact"/>
        <w:rPr>
          <w:color w:val="auto"/>
        </w:rPr>
      </w:pPr>
      <w:r>
        <w:rPr>
          <w:rFonts w:hint="eastAsia"/>
          <w:color w:val="auto"/>
        </w:rPr>
        <w:t>评委成员签：</w:t>
      </w:r>
    </w:p>
    <w:p>
      <w:pPr>
        <w:spacing w:line="500" w:lineRule="exact"/>
        <w:rPr>
          <w:color w:val="auto"/>
        </w:rPr>
      </w:pPr>
      <w:r>
        <w:rPr>
          <w:rFonts w:hint="eastAsia" w:ascii="宋体" w:hAnsi="宋体"/>
          <w:color w:val="auto"/>
          <w:szCs w:val="21"/>
        </w:rPr>
        <w:t>日期：</w:t>
      </w:r>
    </w:p>
    <w:p>
      <w:pPr>
        <w:jc w:val="center"/>
        <w:outlineLvl w:val="0"/>
        <w:rPr>
          <w:b/>
          <w:color w:val="auto"/>
          <w:spacing w:val="20"/>
          <w:sz w:val="28"/>
          <w:szCs w:val="28"/>
        </w:rPr>
      </w:pPr>
    </w:p>
    <w:p>
      <w:pPr>
        <w:jc w:val="center"/>
        <w:outlineLvl w:val="0"/>
        <w:rPr>
          <w:b/>
          <w:color w:val="auto"/>
          <w:spacing w:val="20"/>
          <w:sz w:val="28"/>
          <w:szCs w:val="28"/>
        </w:rPr>
      </w:pPr>
    </w:p>
    <w:p>
      <w:pPr>
        <w:snapToGrid w:val="0"/>
        <w:spacing w:line="360" w:lineRule="auto"/>
        <w:jc w:val="both"/>
        <w:rPr>
          <w:color w:val="auto"/>
          <w:sz w:val="44"/>
          <w:u w:val="single"/>
        </w:rPr>
      </w:pPr>
      <w:r>
        <w:rPr>
          <w:rFonts w:hint="eastAsia"/>
          <w:b/>
          <w:color w:val="auto"/>
          <w:spacing w:val="20"/>
          <w:sz w:val="28"/>
          <w:szCs w:val="28"/>
        </w:rPr>
        <w:t>附表</w:t>
      </w:r>
      <w:r>
        <w:rPr>
          <w:b/>
          <w:color w:val="auto"/>
          <w:spacing w:val="20"/>
          <w:sz w:val="28"/>
          <w:szCs w:val="28"/>
        </w:rPr>
        <w:t>2</w:t>
      </w:r>
      <w:r>
        <w:rPr>
          <w:rFonts w:hint="eastAsia"/>
          <w:b/>
          <w:color w:val="auto"/>
          <w:spacing w:val="20"/>
          <w:sz w:val="28"/>
          <w:szCs w:val="28"/>
        </w:rPr>
        <w:t>：</w:t>
      </w:r>
      <w:bookmarkEnd w:id="1"/>
      <w:r>
        <w:rPr>
          <w:rFonts w:hAnsi="宋体"/>
          <w:color w:val="auto"/>
        </w:rPr>
        <w:t xml:space="preserve">  </w:t>
      </w:r>
      <w:r>
        <w:rPr>
          <w:rFonts w:hint="eastAsia" w:hAnsi="宋体"/>
          <w:color w:val="auto"/>
        </w:rPr>
        <w:t xml:space="preserve">                                  </w:t>
      </w:r>
      <w:r>
        <w:rPr>
          <w:rFonts w:hint="eastAsia" w:eastAsia="黑体"/>
          <w:color w:val="auto"/>
          <w:sz w:val="44"/>
          <w:u w:val="single"/>
        </w:rPr>
        <w:t>技术评分表（  ）包</w:t>
      </w:r>
    </w:p>
    <w:tbl>
      <w:tblPr>
        <w:tblStyle w:val="58"/>
        <w:tblW w:w="15020" w:type="dxa"/>
        <w:tblInd w:w="-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534"/>
        <w:gridCol w:w="1357"/>
        <w:gridCol w:w="9886"/>
        <w:gridCol w:w="844"/>
        <w:gridCol w:w="8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49" w:hRule="exact"/>
          <w:tblHeader/>
        </w:trPr>
        <w:tc>
          <w:tcPr>
            <w:tcW w:w="557" w:type="dxa"/>
            <w:shd w:val="clear" w:color="auto" w:fill="D9D9D9"/>
            <w:vAlign w:val="center"/>
          </w:tcPr>
          <w:p>
            <w:pPr>
              <w:jc w:val="center"/>
              <w:rPr>
                <w:rFonts w:hAnsi="宋体" w:cs="宋体"/>
                <w:b/>
                <w:bCs/>
                <w:sz w:val="24"/>
                <w:szCs w:val="24"/>
              </w:rPr>
            </w:pPr>
            <w:r>
              <w:rPr>
                <w:rFonts w:hint="eastAsia" w:hAnsi="宋体" w:cs="宋体"/>
                <w:b/>
                <w:bCs/>
                <w:sz w:val="24"/>
                <w:szCs w:val="24"/>
              </w:rPr>
              <w:t>序号</w:t>
            </w:r>
          </w:p>
        </w:tc>
        <w:tc>
          <w:tcPr>
            <w:tcW w:w="1534" w:type="dxa"/>
            <w:shd w:val="clear" w:color="auto" w:fill="D9D9D9"/>
            <w:vAlign w:val="center"/>
          </w:tcPr>
          <w:p>
            <w:pPr>
              <w:jc w:val="center"/>
              <w:rPr>
                <w:rFonts w:hAnsi="宋体" w:cs="宋体"/>
                <w:sz w:val="24"/>
                <w:szCs w:val="24"/>
              </w:rPr>
            </w:pPr>
            <w:r>
              <w:rPr>
                <w:rFonts w:hint="eastAsia" w:hAnsi="宋体" w:cs="宋体"/>
                <w:b/>
                <w:bCs/>
                <w:sz w:val="24"/>
                <w:szCs w:val="24"/>
              </w:rPr>
              <w:t>评审项目</w:t>
            </w:r>
          </w:p>
        </w:tc>
        <w:tc>
          <w:tcPr>
            <w:tcW w:w="1357" w:type="dxa"/>
            <w:shd w:val="clear" w:color="auto" w:fill="D9D9D9"/>
            <w:vAlign w:val="center"/>
          </w:tcPr>
          <w:p>
            <w:pPr>
              <w:jc w:val="center"/>
              <w:rPr>
                <w:rFonts w:hAnsi="宋体" w:cs="宋体"/>
                <w:sz w:val="24"/>
                <w:szCs w:val="24"/>
              </w:rPr>
            </w:pPr>
            <w:r>
              <w:rPr>
                <w:rFonts w:hint="eastAsia" w:hAnsi="宋体" w:cs="宋体"/>
                <w:b/>
                <w:bCs/>
                <w:sz w:val="24"/>
                <w:szCs w:val="24"/>
              </w:rPr>
              <w:t>分配分数</w:t>
            </w:r>
          </w:p>
        </w:tc>
        <w:tc>
          <w:tcPr>
            <w:tcW w:w="9886" w:type="dxa"/>
            <w:shd w:val="clear" w:color="auto" w:fill="D9D9D9"/>
            <w:vAlign w:val="center"/>
          </w:tcPr>
          <w:p>
            <w:pPr>
              <w:jc w:val="center"/>
              <w:rPr>
                <w:rFonts w:hAnsi="宋体" w:cs="宋体"/>
                <w:b/>
                <w:bCs/>
                <w:sz w:val="24"/>
                <w:szCs w:val="24"/>
              </w:rPr>
            </w:pPr>
            <w:r>
              <w:rPr>
                <w:rFonts w:hint="eastAsia" w:ascii="宋体" w:hAnsi="宋体"/>
                <w:b/>
                <w:color w:val="000000"/>
                <w:sz w:val="32"/>
                <w:szCs w:val="32"/>
              </w:rPr>
              <w:t>评议内容及评分标准</w:t>
            </w:r>
          </w:p>
        </w:tc>
        <w:tc>
          <w:tcPr>
            <w:tcW w:w="844" w:type="dxa"/>
            <w:tcBorders>
              <w:left w:val="single" w:color="auto" w:sz="4" w:space="0"/>
              <w:right w:val="single" w:color="auto" w:sz="4" w:space="0"/>
            </w:tcBorders>
            <w:shd w:val="clear" w:color="auto" w:fill="D9D9D9"/>
            <w:vAlign w:val="center"/>
          </w:tcPr>
          <w:p>
            <w:pPr>
              <w:jc w:val="center"/>
              <w:rPr>
                <w:rFonts w:hAnsi="宋体" w:cs="宋体"/>
                <w:b/>
                <w:bCs/>
                <w:sz w:val="24"/>
                <w:szCs w:val="24"/>
              </w:rPr>
            </w:pPr>
            <w:r>
              <w:rPr>
                <w:rFonts w:hint="eastAsia" w:hAnsi="宋体" w:cs="宋体"/>
                <w:b/>
                <w:bCs/>
                <w:sz w:val="24"/>
                <w:szCs w:val="24"/>
              </w:rPr>
              <w:t>投标人</w:t>
            </w:r>
          </w:p>
          <w:p>
            <w:pPr>
              <w:jc w:val="center"/>
              <w:rPr>
                <w:rFonts w:hAnsi="宋体" w:cs="宋体"/>
                <w:b/>
                <w:bCs/>
                <w:sz w:val="24"/>
                <w:szCs w:val="24"/>
              </w:rPr>
            </w:pPr>
            <w:r>
              <w:rPr>
                <w:rFonts w:hint="eastAsia" w:hAnsi="宋体" w:cs="宋体"/>
                <w:b/>
                <w:bCs/>
                <w:sz w:val="24"/>
                <w:szCs w:val="24"/>
              </w:rPr>
              <w:t>（…）</w:t>
            </w:r>
          </w:p>
        </w:tc>
        <w:tc>
          <w:tcPr>
            <w:tcW w:w="842" w:type="dxa"/>
            <w:tcBorders>
              <w:left w:val="single" w:color="auto" w:sz="4" w:space="0"/>
            </w:tcBorders>
            <w:shd w:val="clear" w:color="auto" w:fill="D9D9D9"/>
            <w:vAlign w:val="center"/>
          </w:tcPr>
          <w:p>
            <w:pPr>
              <w:jc w:val="center"/>
              <w:rPr>
                <w:rFonts w:hAnsi="宋体" w:cs="宋体"/>
                <w:b/>
                <w:bCs/>
                <w:sz w:val="24"/>
                <w:szCs w:val="24"/>
              </w:rPr>
            </w:pPr>
            <w:r>
              <w:rPr>
                <w:rFonts w:hint="eastAsia" w:hAnsi="宋体" w:cs="宋体"/>
                <w:b/>
                <w:bCs/>
                <w:sz w:val="24"/>
                <w:szCs w:val="24"/>
              </w:rPr>
              <w:t>投标人</w:t>
            </w:r>
          </w:p>
          <w:p>
            <w:pPr>
              <w:jc w:val="center"/>
              <w:rPr>
                <w:rFonts w:hAnsi="宋体" w:cs="宋体"/>
                <w:b/>
                <w:bCs/>
                <w:sz w:val="24"/>
                <w:szCs w:val="24"/>
              </w:rPr>
            </w:pPr>
            <w:r>
              <w:rPr>
                <w:rFonts w:hint="eastAsia" w:hAnsi="宋体" w:cs="宋体"/>
                <w:b/>
                <w:bCs/>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8" w:hRule="atLeast"/>
        </w:trPr>
        <w:tc>
          <w:tcPr>
            <w:tcW w:w="557" w:type="dxa"/>
            <w:tcBorders>
              <w:bottom w:val="single" w:color="auto" w:sz="4" w:space="0"/>
            </w:tcBorders>
            <w:vAlign w:val="center"/>
          </w:tcPr>
          <w:p>
            <w:pPr>
              <w:jc w:val="center"/>
              <w:rPr>
                <w:rFonts w:hAnsi="宋体" w:cs="宋体"/>
                <w:sz w:val="24"/>
                <w:szCs w:val="24"/>
              </w:rPr>
            </w:pPr>
            <w:r>
              <w:rPr>
                <w:rFonts w:hint="eastAsia" w:hAnsi="宋体" w:cs="宋体"/>
                <w:sz w:val="24"/>
                <w:szCs w:val="24"/>
              </w:rPr>
              <w:t>1</w:t>
            </w:r>
          </w:p>
        </w:tc>
        <w:tc>
          <w:tcPr>
            <w:tcW w:w="1534" w:type="dxa"/>
            <w:tcBorders>
              <w:bottom w:val="single" w:color="auto" w:sz="4" w:space="0"/>
            </w:tcBorders>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合同响应程度</w:t>
            </w:r>
          </w:p>
        </w:tc>
        <w:tc>
          <w:tcPr>
            <w:tcW w:w="1357" w:type="dxa"/>
            <w:tcBorders>
              <w:top w:val="single" w:color="auto" w:sz="4" w:space="0"/>
              <w:bottom w:val="single" w:color="auto" w:sz="4" w:space="0"/>
            </w:tcBorders>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20</w:t>
            </w:r>
          </w:p>
        </w:tc>
        <w:tc>
          <w:tcPr>
            <w:tcW w:w="9886" w:type="dxa"/>
            <w:tcBorders>
              <w:top w:val="single" w:color="auto" w:sz="4" w:space="0"/>
            </w:tcBorders>
            <w:vAlign w:val="center"/>
          </w:tcPr>
          <w:p>
            <w:pPr>
              <w:pStyle w:val="77"/>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对招标文件合同条款的响应情况进行横向对比。优：20分； 良：15分；中：10分；差：5分</w:t>
            </w:r>
          </w:p>
        </w:tc>
        <w:tc>
          <w:tcPr>
            <w:tcW w:w="844" w:type="dxa"/>
            <w:tcBorders>
              <w:top w:val="single" w:color="auto" w:sz="4" w:space="0"/>
              <w:left w:val="single" w:color="auto" w:sz="4" w:space="0"/>
              <w:right w:val="single" w:color="auto" w:sz="4" w:space="0"/>
            </w:tcBorders>
            <w:vAlign w:val="center"/>
          </w:tcPr>
          <w:p>
            <w:pPr>
              <w:jc w:val="center"/>
              <w:rPr>
                <w:rFonts w:hAnsi="宋体" w:cs="宋体"/>
                <w:sz w:val="24"/>
                <w:szCs w:val="24"/>
              </w:rPr>
            </w:pPr>
          </w:p>
        </w:tc>
        <w:tc>
          <w:tcPr>
            <w:tcW w:w="842" w:type="dxa"/>
            <w:tcBorders>
              <w:top w:val="single" w:color="auto" w:sz="4" w:space="0"/>
              <w:left w:val="single" w:color="auto" w:sz="4" w:space="0"/>
            </w:tcBorders>
            <w:vAlign w:val="center"/>
          </w:tcPr>
          <w:p>
            <w:pPr>
              <w:jc w:val="center"/>
              <w:rPr>
                <w:rFonts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83" w:hRule="atLeast"/>
        </w:trPr>
        <w:tc>
          <w:tcPr>
            <w:tcW w:w="557" w:type="dxa"/>
            <w:vAlign w:val="center"/>
          </w:tcPr>
          <w:p>
            <w:pPr>
              <w:jc w:val="center"/>
              <w:rPr>
                <w:rFonts w:hint="eastAsia" w:hAnsi="宋体" w:cs="宋体"/>
                <w:sz w:val="24"/>
                <w:szCs w:val="24"/>
              </w:rPr>
            </w:pPr>
            <w:r>
              <w:rPr>
                <w:rFonts w:hint="eastAsia" w:hAnsi="宋体" w:cs="宋体"/>
                <w:sz w:val="24"/>
                <w:szCs w:val="24"/>
              </w:rPr>
              <w:t>2</w:t>
            </w:r>
          </w:p>
        </w:tc>
        <w:tc>
          <w:tcPr>
            <w:tcW w:w="1534" w:type="dxa"/>
            <w:vAlign w:val="center"/>
          </w:tcPr>
          <w:p>
            <w:pPr>
              <w:ind w:left="-63" w:leftChars="-30" w:right="-88" w:rightChars="-42"/>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财务状况</w:t>
            </w:r>
          </w:p>
        </w:tc>
        <w:tc>
          <w:tcPr>
            <w:tcW w:w="1357" w:type="dxa"/>
            <w:tcBorders>
              <w:top w:val="single" w:color="auto" w:sz="4" w:space="0"/>
            </w:tcBorders>
            <w:vAlign w:val="center"/>
          </w:tcPr>
          <w:p>
            <w:pPr>
              <w:ind w:left="-63" w:leftChars="-30" w:right="-88" w:rightChars="-42"/>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10</w:t>
            </w:r>
          </w:p>
        </w:tc>
        <w:tc>
          <w:tcPr>
            <w:tcW w:w="9886" w:type="dxa"/>
            <w:tcBorders>
              <w:top w:val="single" w:color="auto" w:sz="4" w:space="0"/>
            </w:tcBorders>
            <w:vAlign w:val="center"/>
          </w:tcPr>
          <w:p>
            <w:pPr>
              <w:pStyle w:val="77"/>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投标人经营状况对比。优：20分； 良：15分；中：10分；差：5分</w:t>
            </w:r>
          </w:p>
        </w:tc>
        <w:tc>
          <w:tcPr>
            <w:tcW w:w="844" w:type="dxa"/>
            <w:tcBorders>
              <w:top w:val="single" w:color="auto" w:sz="4" w:space="0"/>
              <w:left w:val="single" w:color="auto" w:sz="4" w:space="0"/>
              <w:right w:val="single" w:color="auto" w:sz="4" w:space="0"/>
            </w:tcBorders>
            <w:vAlign w:val="center"/>
          </w:tcPr>
          <w:p>
            <w:pPr>
              <w:jc w:val="center"/>
              <w:rPr>
                <w:rFonts w:hAnsi="宋体" w:cs="宋体"/>
                <w:sz w:val="24"/>
                <w:szCs w:val="24"/>
              </w:rPr>
            </w:pPr>
          </w:p>
        </w:tc>
        <w:tc>
          <w:tcPr>
            <w:tcW w:w="842" w:type="dxa"/>
            <w:tcBorders>
              <w:top w:val="single" w:color="auto" w:sz="4" w:space="0"/>
              <w:left w:val="single" w:color="auto" w:sz="4" w:space="0"/>
            </w:tcBorders>
            <w:vAlign w:val="center"/>
          </w:tcPr>
          <w:p>
            <w:pPr>
              <w:jc w:val="center"/>
              <w:rPr>
                <w:rFonts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trPr>
        <w:tc>
          <w:tcPr>
            <w:tcW w:w="557" w:type="dxa"/>
            <w:vAlign w:val="center"/>
          </w:tcPr>
          <w:p>
            <w:pPr>
              <w:spacing w:line="360" w:lineRule="auto"/>
              <w:jc w:val="center"/>
              <w:rPr>
                <w:rFonts w:hint="eastAsia" w:hAnsi="宋体" w:cs="宋体"/>
                <w:sz w:val="24"/>
                <w:szCs w:val="24"/>
              </w:rPr>
            </w:pPr>
            <w:r>
              <w:rPr>
                <w:rFonts w:hint="eastAsia" w:hAnsi="宋体" w:cs="宋体"/>
                <w:sz w:val="24"/>
                <w:szCs w:val="24"/>
              </w:rPr>
              <w:t>3</w:t>
            </w:r>
          </w:p>
        </w:tc>
        <w:tc>
          <w:tcPr>
            <w:tcW w:w="1534" w:type="dxa"/>
            <w:vAlign w:val="center"/>
          </w:tcPr>
          <w:p>
            <w:pPr>
              <w:spacing w:line="360" w:lineRule="auto"/>
              <w:jc w:val="center"/>
              <w:rPr>
                <w:rFonts w:hint="eastAsia" w:hAnsi="宋体" w:cs="宋体"/>
                <w:sz w:val="24"/>
                <w:szCs w:val="24"/>
              </w:rPr>
            </w:pPr>
            <w:r>
              <w:rPr>
                <w:rFonts w:hint="eastAsia" w:hAnsi="宋体" w:cs="宋体"/>
                <w:sz w:val="24"/>
                <w:szCs w:val="24"/>
              </w:rPr>
              <w:t>综合实力</w:t>
            </w:r>
          </w:p>
        </w:tc>
        <w:tc>
          <w:tcPr>
            <w:tcW w:w="1357" w:type="dxa"/>
            <w:tcBorders>
              <w:top w:val="single" w:color="auto" w:sz="4" w:space="0"/>
            </w:tcBorders>
            <w:vAlign w:val="center"/>
          </w:tcPr>
          <w:p>
            <w:pPr>
              <w:spacing w:line="360" w:lineRule="auto"/>
              <w:jc w:val="center"/>
              <w:rPr>
                <w:rFonts w:hint="eastAsia" w:hAnsi="宋体" w:eastAsia="宋体" w:cs="宋体"/>
                <w:sz w:val="24"/>
                <w:szCs w:val="24"/>
                <w:lang w:val="en-US" w:eastAsia="zh-CN"/>
              </w:rPr>
            </w:pPr>
            <w:r>
              <w:rPr>
                <w:rFonts w:hint="eastAsia" w:hAnsi="宋体" w:cs="宋体"/>
                <w:sz w:val="24"/>
                <w:szCs w:val="24"/>
                <w:lang w:val="en-US" w:eastAsia="zh-CN"/>
              </w:rPr>
              <w:t>10</w:t>
            </w:r>
          </w:p>
        </w:tc>
        <w:tc>
          <w:tcPr>
            <w:tcW w:w="9886" w:type="dxa"/>
            <w:tcBorders>
              <w:top w:val="single" w:color="auto" w:sz="4" w:space="0"/>
            </w:tcBorders>
            <w:vAlign w:val="center"/>
          </w:tcPr>
          <w:p>
            <w:pPr>
              <w:rPr>
                <w:rFonts w:hint="eastAsia" w:hAnsi="宋体" w:eastAsia="宋体"/>
                <w:color w:val="000000"/>
                <w:sz w:val="24"/>
                <w:szCs w:val="24"/>
                <w:lang w:eastAsia="zh-CN"/>
              </w:rPr>
            </w:pPr>
            <w:r>
              <w:rPr>
                <w:rFonts w:hint="eastAsia" w:hAnsi="宋体"/>
                <w:color w:val="000000"/>
                <w:sz w:val="24"/>
                <w:szCs w:val="24"/>
              </w:rPr>
              <w:t>综合资质及社会信誉度评价</w:t>
            </w:r>
            <w:r>
              <w:rPr>
                <w:rFonts w:hint="eastAsia" w:hAnsi="宋体"/>
                <w:color w:val="000000"/>
                <w:sz w:val="24"/>
                <w:szCs w:val="24"/>
                <w:lang w:eastAsia="zh-CN"/>
              </w:rPr>
              <w:t>。</w:t>
            </w:r>
            <w:r>
              <w:rPr>
                <w:rFonts w:hint="eastAsia" w:hAnsi="宋体"/>
                <w:sz w:val="24"/>
                <w:szCs w:val="24"/>
              </w:rPr>
              <w:t>优：</w:t>
            </w:r>
            <w:r>
              <w:rPr>
                <w:rFonts w:hint="eastAsia" w:hAnsi="宋体"/>
                <w:sz w:val="24"/>
                <w:szCs w:val="24"/>
                <w:lang w:val="en-US" w:eastAsia="zh-CN"/>
              </w:rPr>
              <w:t>10</w:t>
            </w:r>
            <w:r>
              <w:rPr>
                <w:rFonts w:hint="eastAsia" w:hAnsi="宋体"/>
                <w:sz w:val="24"/>
                <w:szCs w:val="24"/>
              </w:rPr>
              <w:t>； 良：</w:t>
            </w:r>
            <w:r>
              <w:rPr>
                <w:rFonts w:hint="eastAsia" w:hAnsi="宋体"/>
                <w:sz w:val="24"/>
                <w:szCs w:val="24"/>
                <w:lang w:val="en-US" w:eastAsia="zh-CN"/>
              </w:rPr>
              <w:t>8</w:t>
            </w:r>
            <w:r>
              <w:rPr>
                <w:rFonts w:hint="eastAsia" w:hAnsi="宋体"/>
                <w:sz w:val="24"/>
                <w:szCs w:val="24"/>
              </w:rPr>
              <w:t>；中：</w:t>
            </w:r>
            <w:r>
              <w:rPr>
                <w:rFonts w:hint="eastAsia" w:hAnsi="宋体"/>
                <w:sz w:val="24"/>
                <w:szCs w:val="24"/>
                <w:lang w:val="en-US" w:eastAsia="zh-CN"/>
              </w:rPr>
              <w:t>5</w:t>
            </w:r>
            <w:r>
              <w:rPr>
                <w:rFonts w:hint="eastAsia" w:hAnsi="宋体"/>
                <w:sz w:val="24"/>
                <w:szCs w:val="24"/>
              </w:rPr>
              <w:t>；差：</w:t>
            </w:r>
            <w:r>
              <w:rPr>
                <w:rFonts w:hint="eastAsia" w:hAnsi="宋体"/>
                <w:sz w:val="24"/>
                <w:szCs w:val="24"/>
                <w:lang w:val="en-US" w:eastAsia="zh-CN"/>
              </w:rPr>
              <w:t>3</w:t>
            </w:r>
          </w:p>
        </w:tc>
        <w:tc>
          <w:tcPr>
            <w:tcW w:w="844" w:type="dxa"/>
            <w:tcBorders>
              <w:top w:val="single" w:color="auto" w:sz="4" w:space="0"/>
              <w:left w:val="single" w:color="auto" w:sz="4" w:space="0"/>
              <w:right w:val="single" w:color="auto" w:sz="4" w:space="0"/>
            </w:tcBorders>
            <w:vAlign w:val="center"/>
          </w:tcPr>
          <w:p>
            <w:pPr>
              <w:jc w:val="center"/>
              <w:rPr>
                <w:rFonts w:hAnsi="宋体" w:cs="宋体"/>
                <w:sz w:val="24"/>
                <w:szCs w:val="24"/>
              </w:rPr>
            </w:pPr>
          </w:p>
        </w:tc>
        <w:tc>
          <w:tcPr>
            <w:tcW w:w="842" w:type="dxa"/>
            <w:tcBorders>
              <w:top w:val="single" w:color="auto" w:sz="4" w:space="0"/>
              <w:left w:val="single" w:color="auto" w:sz="4" w:space="0"/>
            </w:tcBorders>
            <w:vAlign w:val="center"/>
          </w:tcPr>
          <w:p>
            <w:pPr>
              <w:jc w:val="center"/>
              <w:rPr>
                <w:rFonts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50" w:hRule="atLeast"/>
        </w:trPr>
        <w:tc>
          <w:tcPr>
            <w:tcW w:w="557" w:type="dxa"/>
            <w:tcBorders>
              <w:bottom w:val="single" w:color="auto" w:sz="4" w:space="0"/>
            </w:tcBorders>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4</w:t>
            </w:r>
          </w:p>
        </w:tc>
        <w:tc>
          <w:tcPr>
            <w:tcW w:w="1534" w:type="dxa"/>
            <w:vMerge w:val="restart"/>
            <w:vAlign w:val="center"/>
          </w:tcPr>
          <w:p>
            <w:pPr>
              <w:jc w:val="center"/>
              <w:rPr>
                <w:rFonts w:hAnsi="宋体" w:cs="宋体"/>
                <w:sz w:val="24"/>
                <w:szCs w:val="24"/>
              </w:rPr>
            </w:pPr>
            <w:r>
              <w:rPr>
                <w:rFonts w:hint="eastAsia" w:hAnsi="宋体" w:cs="宋体"/>
                <w:sz w:val="24"/>
                <w:szCs w:val="24"/>
              </w:rPr>
              <w:t>履约能力</w:t>
            </w:r>
          </w:p>
        </w:tc>
        <w:tc>
          <w:tcPr>
            <w:tcW w:w="1357" w:type="dxa"/>
            <w:tcBorders>
              <w:top w:val="single" w:color="auto" w:sz="4" w:space="0"/>
              <w:bottom w:val="single" w:color="auto" w:sz="4" w:space="0"/>
            </w:tcBorders>
            <w:vAlign w:val="center"/>
          </w:tcPr>
          <w:p>
            <w:pPr>
              <w:jc w:val="center"/>
              <w:rPr>
                <w:rFonts w:hAnsi="宋体" w:cs="宋体"/>
                <w:sz w:val="24"/>
                <w:szCs w:val="24"/>
              </w:rPr>
            </w:pPr>
            <w:r>
              <w:rPr>
                <w:rFonts w:hAnsi="宋体" w:cs="宋体"/>
                <w:sz w:val="24"/>
                <w:szCs w:val="24"/>
              </w:rPr>
              <w:t>10</w:t>
            </w:r>
          </w:p>
        </w:tc>
        <w:tc>
          <w:tcPr>
            <w:tcW w:w="9886" w:type="dxa"/>
            <w:tcBorders>
              <w:top w:val="single" w:color="auto" w:sz="4" w:space="0"/>
            </w:tcBorders>
            <w:vAlign w:val="center"/>
          </w:tcPr>
          <w:p>
            <w:pPr>
              <w:pStyle w:val="77"/>
              <w:jc w:val="both"/>
              <w:rPr>
                <w:rFonts w:hint="eastAsia" w:cs="宋体"/>
                <w:b/>
                <w:color w:val="auto"/>
                <w:sz w:val="24"/>
                <w:szCs w:val="24"/>
              </w:rPr>
            </w:pPr>
            <w:r>
              <w:rPr>
                <w:rFonts w:hint="eastAsia" w:ascii="Times New Roman" w:hAnsi="宋体" w:eastAsia="宋体" w:cs="Times New Roman"/>
                <w:color w:val="000000"/>
                <w:kern w:val="2"/>
                <w:sz w:val="24"/>
                <w:szCs w:val="24"/>
                <w:lang w:val="en-US" w:eastAsia="zh-CN" w:bidi="ar-SA"/>
              </w:rPr>
              <w:t>有无不良业绩及诉讼史</w:t>
            </w:r>
            <w:r>
              <w:rPr>
                <w:rFonts w:hint="eastAsia" w:ascii="Times New Roman" w:cs="Times New Roman"/>
                <w:color w:val="000000"/>
                <w:kern w:val="2"/>
                <w:sz w:val="24"/>
                <w:szCs w:val="24"/>
                <w:lang w:val="en-US" w:eastAsia="zh-CN" w:bidi="ar-SA"/>
              </w:rPr>
              <w:t>。</w:t>
            </w:r>
            <w:r>
              <w:rPr>
                <w:rFonts w:hint="eastAsia" w:hAnsi="宋体"/>
                <w:sz w:val="24"/>
                <w:szCs w:val="24"/>
              </w:rPr>
              <w:t>优：</w:t>
            </w:r>
            <w:r>
              <w:rPr>
                <w:rFonts w:hint="eastAsia" w:hAnsi="宋体"/>
                <w:sz w:val="24"/>
                <w:szCs w:val="24"/>
                <w:lang w:val="en-US" w:eastAsia="zh-CN"/>
              </w:rPr>
              <w:t>10</w:t>
            </w:r>
            <w:r>
              <w:rPr>
                <w:rFonts w:hint="eastAsia" w:hAnsi="宋体"/>
                <w:sz w:val="24"/>
                <w:szCs w:val="24"/>
              </w:rPr>
              <w:t>； 良：</w:t>
            </w:r>
            <w:r>
              <w:rPr>
                <w:rFonts w:hint="eastAsia" w:hAnsi="宋体"/>
                <w:sz w:val="24"/>
                <w:szCs w:val="24"/>
                <w:lang w:val="en-US" w:eastAsia="zh-CN"/>
              </w:rPr>
              <w:t>8</w:t>
            </w:r>
            <w:r>
              <w:rPr>
                <w:rFonts w:hint="eastAsia" w:hAnsi="宋体"/>
                <w:sz w:val="24"/>
                <w:szCs w:val="24"/>
              </w:rPr>
              <w:t>；中：</w:t>
            </w:r>
            <w:r>
              <w:rPr>
                <w:rFonts w:hint="eastAsia" w:hAnsi="宋体"/>
                <w:sz w:val="24"/>
                <w:szCs w:val="24"/>
                <w:lang w:val="en-US" w:eastAsia="zh-CN"/>
              </w:rPr>
              <w:t>5</w:t>
            </w:r>
            <w:r>
              <w:rPr>
                <w:rFonts w:hint="eastAsia" w:hAnsi="宋体"/>
                <w:sz w:val="24"/>
                <w:szCs w:val="24"/>
              </w:rPr>
              <w:t>；差：</w:t>
            </w:r>
            <w:r>
              <w:rPr>
                <w:rFonts w:hint="eastAsia" w:hAnsi="宋体"/>
                <w:sz w:val="24"/>
                <w:szCs w:val="24"/>
                <w:lang w:val="en-US" w:eastAsia="zh-CN"/>
              </w:rPr>
              <w:t>3</w:t>
            </w:r>
          </w:p>
        </w:tc>
        <w:tc>
          <w:tcPr>
            <w:tcW w:w="844" w:type="dxa"/>
            <w:tcBorders>
              <w:top w:val="single" w:color="auto" w:sz="4" w:space="0"/>
              <w:left w:val="single" w:color="auto" w:sz="4" w:space="0"/>
              <w:right w:val="single" w:color="auto" w:sz="4" w:space="0"/>
            </w:tcBorders>
            <w:vAlign w:val="center"/>
          </w:tcPr>
          <w:p>
            <w:pPr>
              <w:jc w:val="center"/>
              <w:rPr>
                <w:rFonts w:hAnsi="宋体" w:cs="宋体"/>
                <w:sz w:val="24"/>
                <w:szCs w:val="24"/>
              </w:rPr>
            </w:pPr>
          </w:p>
        </w:tc>
        <w:tc>
          <w:tcPr>
            <w:tcW w:w="842" w:type="dxa"/>
            <w:tcBorders>
              <w:top w:val="single" w:color="auto" w:sz="4" w:space="0"/>
              <w:left w:val="single" w:color="auto" w:sz="4" w:space="0"/>
            </w:tcBorders>
            <w:vAlign w:val="center"/>
          </w:tcPr>
          <w:p>
            <w:pPr>
              <w:jc w:val="center"/>
              <w:rPr>
                <w:rFonts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50" w:hRule="atLeast"/>
        </w:trPr>
        <w:tc>
          <w:tcPr>
            <w:tcW w:w="557" w:type="dxa"/>
            <w:tcBorders>
              <w:bottom w:val="single" w:color="auto" w:sz="4" w:space="0"/>
            </w:tcBorders>
            <w:vAlign w:val="center"/>
          </w:tcPr>
          <w:p>
            <w:pPr>
              <w:jc w:val="center"/>
              <w:rPr>
                <w:rFonts w:hint="eastAsia" w:hAnsi="宋体" w:eastAsia="宋体" w:cs="宋体"/>
                <w:sz w:val="24"/>
                <w:szCs w:val="24"/>
                <w:lang w:val="en-US" w:eastAsia="zh-CN"/>
              </w:rPr>
            </w:pPr>
            <w:r>
              <w:rPr>
                <w:rFonts w:hint="eastAsia" w:hAnsi="宋体" w:cs="宋体"/>
                <w:sz w:val="24"/>
                <w:szCs w:val="24"/>
                <w:lang w:val="en-US" w:eastAsia="zh-CN"/>
              </w:rPr>
              <w:t>5</w:t>
            </w:r>
          </w:p>
        </w:tc>
        <w:tc>
          <w:tcPr>
            <w:tcW w:w="1534" w:type="dxa"/>
            <w:vMerge w:val="continue"/>
            <w:tcBorders>
              <w:bottom w:val="single" w:color="auto" w:sz="4" w:space="0"/>
            </w:tcBorders>
            <w:vAlign w:val="center"/>
          </w:tcPr>
          <w:p>
            <w:pPr>
              <w:jc w:val="center"/>
              <w:rPr>
                <w:rFonts w:hint="eastAsia" w:hAnsi="宋体" w:cs="宋体"/>
                <w:sz w:val="24"/>
                <w:szCs w:val="24"/>
              </w:rPr>
            </w:pPr>
          </w:p>
        </w:tc>
        <w:tc>
          <w:tcPr>
            <w:tcW w:w="1357" w:type="dxa"/>
            <w:tcBorders>
              <w:top w:val="single" w:color="auto" w:sz="4" w:space="0"/>
              <w:bottom w:val="single" w:color="auto" w:sz="4" w:space="0"/>
            </w:tcBorders>
            <w:vAlign w:val="center"/>
          </w:tcPr>
          <w:p>
            <w:pPr>
              <w:jc w:val="center"/>
              <w:rPr>
                <w:rFonts w:hint="eastAsia" w:hAnsi="宋体" w:eastAsia="宋体" w:cs="宋体"/>
                <w:sz w:val="24"/>
                <w:szCs w:val="24"/>
                <w:lang w:val="en-US" w:eastAsia="zh-CN"/>
              </w:rPr>
            </w:pPr>
            <w:r>
              <w:rPr>
                <w:rFonts w:hint="eastAsia" w:hAnsi="宋体" w:cs="宋体"/>
                <w:sz w:val="24"/>
                <w:szCs w:val="24"/>
                <w:lang w:val="en-US" w:eastAsia="zh-CN"/>
              </w:rPr>
              <w:t>10</w:t>
            </w:r>
          </w:p>
        </w:tc>
        <w:tc>
          <w:tcPr>
            <w:tcW w:w="9886" w:type="dxa"/>
            <w:tcBorders>
              <w:top w:val="single" w:color="auto" w:sz="4" w:space="0"/>
            </w:tcBorders>
            <w:vAlign w:val="center"/>
          </w:tcPr>
          <w:p>
            <w:pPr>
              <w:pStyle w:val="77"/>
              <w:jc w:val="both"/>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公众信誉度。优：10； 良：8；中：5；差：3</w:t>
            </w:r>
          </w:p>
        </w:tc>
        <w:tc>
          <w:tcPr>
            <w:tcW w:w="844" w:type="dxa"/>
            <w:tcBorders>
              <w:top w:val="single" w:color="auto" w:sz="4" w:space="0"/>
              <w:left w:val="single" w:color="auto" w:sz="4" w:space="0"/>
              <w:right w:val="single" w:color="auto" w:sz="4" w:space="0"/>
            </w:tcBorders>
            <w:vAlign w:val="center"/>
          </w:tcPr>
          <w:p>
            <w:pPr>
              <w:jc w:val="center"/>
              <w:rPr>
                <w:rFonts w:hAnsi="宋体" w:cs="宋体"/>
                <w:sz w:val="24"/>
                <w:szCs w:val="24"/>
              </w:rPr>
            </w:pPr>
          </w:p>
        </w:tc>
        <w:tc>
          <w:tcPr>
            <w:tcW w:w="842" w:type="dxa"/>
            <w:tcBorders>
              <w:top w:val="single" w:color="auto" w:sz="4" w:space="0"/>
              <w:left w:val="single" w:color="auto" w:sz="4" w:space="0"/>
            </w:tcBorders>
            <w:vAlign w:val="center"/>
          </w:tcPr>
          <w:p>
            <w:pPr>
              <w:jc w:val="center"/>
              <w:rPr>
                <w:rFonts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47" w:hRule="atLeast"/>
        </w:trPr>
        <w:tc>
          <w:tcPr>
            <w:tcW w:w="55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6</w:t>
            </w:r>
          </w:p>
        </w:tc>
        <w:tc>
          <w:tcPr>
            <w:tcW w:w="1534" w:type="dxa"/>
            <w:tcBorders>
              <w:top w:val="single" w:color="auto" w:sz="4" w:space="0"/>
              <w:bottom w:val="single" w:color="auto" w:sz="4" w:space="0"/>
            </w:tcBorders>
            <w:vAlign w:val="center"/>
          </w:tcPr>
          <w:p>
            <w:pPr>
              <w:jc w:val="center"/>
              <w:rPr>
                <w:rFonts w:hAnsi="宋体" w:cs="宋体"/>
                <w:sz w:val="24"/>
                <w:szCs w:val="24"/>
              </w:rPr>
            </w:pPr>
            <w:r>
              <w:rPr>
                <w:rFonts w:hint="eastAsia" w:hAnsi="宋体" w:cs="宋体"/>
                <w:sz w:val="24"/>
                <w:szCs w:val="24"/>
              </w:rPr>
              <w:t>业绩</w:t>
            </w:r>
          </w:p>
        </w:tc>
        <w:tc>
          <w:tcPr>
            <w:tcW w:w="1357" w:type="dxa"/>
            <w:vAlign w:val="center"/>
          </w:tcPr>
          <w:p>
            <w:pPr>
              <w:jc w:val="center"/>
              <w:rPr>
                <w:rFonts w:hint="eastAsia" w:hAnsi="宋体" w:eastAsia="宋体" w:cs="宋体"/>
                <w:sz w:val="24"/>
                <w:szCs w:val="24"/>
                <w:lang w:val="en-US" w:eastAsia="zh-CN"/>
              </w:rPr>
            </w:pPr>
            <w:r>
              <w:rPr>
                <w:rFonts w:hint="eastAsia" w:hAnsi="宋体" w:cs="宋体"/>
                <w:sz w:val="24"/>
                <w:szCs w:val="24"/>
                <w:lang w:val="en-US" w:eastAsia="zh-CN"/>
              </w:rPr>
              <w:t>30</w:t>
            </w:r>
          </w:p>
        </w:tc>
        <w:tc>
          <w:tcPr>
            <w:tcW w:w="9886" w:type="dxa"/>
            <w:vAlign w:val="center"/>
          </w:tcPr>
          <w:p>
            <w:pPr>
              <w:rPr>
                <w:rFonts w:hint="eastAsia" w:eastAsia="宋体" w:cs="宋体"/>
                <w:b/>
                <w:sz w:val="24"/>
                <w:szCs w:val="24"/>
                <w:lang w:eastAsia="zh-CN"/>
              </w:rPr>
            </w:pPr>
            <w:r>
              <w:rPr>
                <w:rFonts w:hint="eastAsia" w:cs="宋体"/>
                <w:sz w:val="24"/>
                <w:szCs w:val="24"/>
              </w:rPr>
              <w:t>2014年至今</w:t>
            </w:r>
            <w:r>
              <w:rPr>
                <w:rFonts w:hint="eastAsia" w:ascii="宋体" w:hAnsi="宋体"/>
                <w:color w:val="auto"/>
                <w:sz w:val="24"/>
                <w:szCs w:val="24"/>
              </w:rPr>
              <w:t>加油业绩</w:t>
            </w:r>
            <w:r>
              <w:rPr>
                <w:rFonts w:hint="eastAsia" w:ascii="宋体" w:hAnsi="宋体"/>
                <w:color w:val="auto"/>
                <w:sz w:val="24"/>
                <w:szCs w:val="24"/>
                <w:lang w:eastAsia="zh-CN"/>
              </w:rPr>
              <w:t>。</w:t>
            </w:r>
            <w:r>
              <w:rPr>
                <w:rFonts w:hint="eastAsia" w:ascii="宋体" w:hAnsi="宋体"/>
                <w:color w:val="000000"/>
                <w:kern w:val="0"/>
                <w:sz w:val="24"/>
                <w:szCs w:val="24"/>
              </w:rPr>
              <w:t>优：</w:t>
            </w:r>
            <w:r>
              <w:rPr>
                <w:rFonts w:hint="eastAsia" w:ascii="宋体" w:hAnsi="宋体"/>
                <w:color w:val="000000"/>
                <w:kern w:val="0"/>
                <w:sz w:val="24"/>
                <w:szCs w:val="24"/>
                <w:lang w:val="en-US" w:eastAsia="zh-CN"/>
              </w:rPr>
              <w:t>30</w:t>
            </w:r>
            <w:r>
              <w:rPr>
                <w:rFonts w:hint="eastAsia" w:ascii="宋体" w:hAnsi="宋体"/>
                <w:color w:val="000000"/>
                <w:kern w:val="0"/>
                <w:sz w:val="24"/>
                <w:szCs w:val="24"/>
              </w:rPr>
              <w:t>； 良：</w:t>
            </w:r>
            <w:r>
              <w:rPr>
                <w:rFonts w:hint="eastAsia" w:ascii="宋体" w:hAnsi="宋体"/>
                <w:color w:val="000000"/>
                <w:kern w:val="0"/>
                <w:sz w:val="24"/>
                <w:szCs w:val="24"/>
                <w:lang w:val="en-US" w:eastAsia="zh-CN"/>
              </w:rPr>
              <w:t>20</w:t>
            </w:r>
            <w:r>
              <w:rPr>
                <w:rFonts w:hint="eastAsia" w:ascii="宋体" w:hAnsi="宋体"/>
                <w:color w:val="000000"/>
                <w:kern w:val="0"/>
                <w:sz w:val="24"/>
                <w:szCs w:val="24"/>
              </w:rPr>
              <w:t>；中：</w:t>
            </w:r>
            <w:r>
              <w:rPr>
                <w:rFonts w:hint="eastAsia" w:ascii="宋体" w:hAnsi="宋体"/>
                <w:color w:val="000000"/>
                <w:kern w:val="0"/>
                <w:sz w:val="24"/>
                <w:szCs w:val="24"/>
                <w:lang w:val="en-US" w:eastAsia="zh-CN"/>
              </w:rPr>
              <w:t>10</w:t>
            </w:r>
            <w:r>
              <w:rPr>
                <w:rFonts w:hint="eastAsia" w:ascii="宋体" w:hAnsi="宋体"/>
                <w:color w:val="000000"/>
                <w:kern w:val="0"/>
                <w:sz w:val="24"/>
                <w:szCs w:val="24"/>
              </w:rPr>
              <w:t>；差：</w:t>
            </w:r>
            <w:r>
              <w:rPr>
                <w:rFonts w:hint="eastAsia" w:ascii="宋体" w:hAnsi="宋体"/>
                <w:color w:val="000000"/>
                <w:kern w:val="0"/>
                <w:sz w:val="24"/>
                <w:szCs w:val="24"/>
                <w:lang w:val="en-US" w:eastAsia="zh-CN"/>
              </w:rPr>
              <w:t>5</w:t>
            </w:r>
          </w:p>
        </w:tc>
        <w:tc>
          <w:tcPr>
            <w:tcW w:w="844" w:type="dxa"/>
            <w:tcBorders>
              <w:left w:val="single" w:color="auto" w:sz="4" w:space="0"/>
              <w:right w:val="single" w:color="auto" w:sz="4" w:space="0"/>
            </w:tcBorders>
            <w:vAlign w:val="center"/>
          </w:tcPr>
          <w:p>
            <w:pPr>
              <w:pStyle w:val="77"/>
              <w:rPr>
                <w:rFonts w:cs="宋体"/>
                <w:color w:val="auto"/>
                <w:sz w:val="24"/>
                <w:szCs w:val="24"/>
              </w:rPr>
            </w:pPr>
          </w:p>
        </w:tc>
        <w:tc>
          <w:tcPr>
            <w:tcW w:w="842" w:type="dxa"/>
            <w:tcBorders>
              <w:left w:val="single" w:color="auto" w:sz="4" w:space="0"/>
            </w:tcBorders>
            <w:vAlign w:val="center"/>
          </w:tcPr>
          <w:p>
            <w:pPr>
              <w:pStyle w:val="77"/>
              <w:rPr>
                <w:rFonts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2091" w:type="dxa"/>
            <w:gridSpan w:val="2"/>
            <w:vAlign w:val="center"/>
          </w:tcPr>
          <w:p>
            <w:pPr>
              <w:jc w:val="center"/>
              <w:rPr>
                <w:rFonts w:hAnsi="宋体" w:cs="宋体"/>
                <w:sz w:val="24"/>
                <w:szCs w:val="24"/>
              </w:rPr>
            </w:pPr>
            <w:r>
              <w:rPr>
                <w:rFonts w:hint="eastAsia" w:hAnsi="宋体" w:cs="宋体"/>
                <w:sz w:val="24"/>
                <w:szCs w:val="24"/>
              </w:rPr>
              <w:t>合计</w:t>
            </w:r>
          </w:p>
        </w:tc>
        <w:tc>
          <w:tcPr>
            <w:tcW w:w="1357" w:type="dxa"/>
            <w:vAlign w:val="center"/>
          </w:tcPr>
          <w:p>
            <w:pPr>
              <w:jc w:val="center"/>
              <w:rPr>
                <w:rFonts w:hAnsi="宋体" w:cs="宋体"/>
                <w:sz w:val="24"/>
                <w:szCs w:val="24"/>
              </w:rPr>
            </w:pPr>
            <w:r>
              <w:rPr>
                <w:rFonts w:hint="eastAsia" w:hAnsi="宋体" w:cs="宋体"/>
                <w:sz w:val="24"/>
                <w:szCs w:val="24"/>
              </w:rPr>
              <w:t>100</w:t>
            </w:r>
          </w:p>
        </w:tc>
        <w:tc>
          <w:tcPr>
            <w:tcW w:w="9886" w:type="dxa"/>
            <w:vAlign w:val="center"/>
          </w:tcPr>
          <w:p>
            <w:pPr>
              <w:jc w:val="center"/>
              <w:rPr>
                <w:rFonts w:hAnsi="宋体" w:cs="宋体"/>
                <w:sz w:val="24"/>
                <w:szCs w:val="24"/>
              </w:rPr>
            </w:pPr>
            <w:r>
              <w:rPr>
                <w:rFonts w:hint="eastAsia" w:hAnsi="宋体" w:cs="宋体"/>
                <w:sz w:val="24"/>
                <w:szCs w:val="24"/>
              </w:rPr>
              <w:t>得分总计</w:t>
            </w:r>
          </w:p>
        </w:tc>
        <w:tc>
          <w:tcPr>
            <w:tcW w:w="844" w:type="dxa"/>
            <w:tcBorders>
              <w:left w:val="single" w:color="auto" w:sz="4" w:space="0"/>
              <w:right w:val="single" w:color="auto" w:sz="4" w:space="0"/>
            </w:tcBorders>
            <w:vAlign w:val="center"/>
          </w:tcPr>
          <w:p>
            <w:pPr>
              <w:jc w:val="center"/>
              <w:rPr>
                <w:rFonts w:hAnsi="宋体" w:cs="宋体"/>
                <w:sz w:val="24"/>
                <w:szCs w:val="24"/>
              </w:rPr>
            </w:pPr>
          </w:p>
        </w:tc>
        <w:tc>
          <w:tcPr>
            <w:tcW w:w="842" w:type="dxa"/>
            <w:tcBorders>
              <w:left w:val="single" w:color="auto" w:sz="4" w:space="0"/>
            </w:tcBorders>
            <w:vAlign w:val="center"/>
          </w:tcPr>
          <w:p>
            <w:pPr>
              <w:jc w:val="center"/>
              <w:rPr>
                <w:rFonts w:hAnsi="宋体" w:cs="宋体"/>
                <w:sz w:val="24"/>
                <w:szCs w:val="24"/>
              </w:rPr>
            </w:pPr>
          </w:p>
        </w:tc>
      </w:tr>
    </w:tbl>
    <w:p>
      <w:pPr>
        <w:spacing w:line="360" w:lineRule="auto"/>
        <w:ind w:firstLine="420" w:firstLineChars="200"/>
        <w:rPr>
          <w:rFonts w:ascii="宋体" w:hAnsi="宋体"/>
          <w:color w:val="auto"/>
          <w:szCs w:val="18"/>
        </w:rPr>
      </w:pPr>
      <w:r>
        <w:rPr>
          <w:rFonts w:hint="eastAsia" w:ascii="宋体" w:hAnsi="宋体"/>
          <w:color w:val="auto"/>
          <w:szCs w:val="18"/>
        </w:rPr>
        <w:t>注：</w:t>
      </w:r>
      <w:r>
        <w:rPr>
          <w:rFonts w:hint="eastAsia" w:ascii="Arial" w:hAnsi="Arial" w:cs="Arial"/>
          <w:color w:val="auto"/>
        </w:rPr>
        <w:t>评委对各投标文件进行比较后打分，最好的为优，其余的根据优劣相应的打分，评分单项打分低于分配分数</w:t>
      </w:r>
      <w:r>
        <w:rPr>
          <w:rFonts w:ascii="Arial" w:hAnsi="Arial" w:cs="Arial"/>
          <w:color w:val="auto"/>
        </w:rPr>
        <w:t>60</w:t>
      </w:r>
      <w:r>
        <w:rPr>
          <w:rFonts w:hint="eastAsia" w:ascii="Arial" w:hAnsi="Arial" w:cs="Arial"/>
          <w:color w:val="auto"/>
        </w:rPr>
        <w:t>％需文字说明</w:t>
      </w:r>
      <w:r>
        <w:rPr>
          <w:rFonts w:hint="eastAsia" w:ascii="宋体" w:hAnsi="宋体"/>
          <w:color w:val="auto"/>
          <w:szCs w:val="18"/>
        </w:rPr>
        <w:t>。</w:t>
      </w:r>
    </w:p>
    <w:p>
      <w:pPr>
        <w:spacing w:line="360" w:lineRule="auto"/>
        <w:ind w:firstLine="420" w:firstLineChars="200"/>
        <w:rPr>
          <w:color w:val="auto"/>
          <w:szCs w:val="18"/>
        </w:rPr>
      </w:pPr>
      <w:r>
        <w:rPr>
          <w:rFonts w:hint="eastAsia" w:ascii="宋体" w:hAnsi="宋体"/>
          <w:color w:val="auto"/>
          <w:szCs w:val="18"/>
        </w:rPr>
        <w:t>评委</w:t>
      </w:r>
      <w:r>
        <w:rPr>
          <w:rFonts w:hint="eastAsia"/>
          <w:color w:val="auto"/>
          <w:szCs w:val="18"/>
        </w:rPr>
        <w:t>签名：</w:t>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 xml:space="preserve">   </w:t>
      </w:r>
      <w:r>
        <w:rPr>
          <w:rFonts w:hint="eastAsia"/>
          <w:color w:val="auto"/>
          <w:szCs w:val="18"/>
        </w:rPr>
        <w:t>日</w:t>
      </w:r>
      <w:r>
        <w:rPr>
          <w:color w:val="auto"/>
          <w:szCs w:val="18"/>
        </w:rPr>
        <w:t xml:space="preserve">    </w:t>
      </w:r>
      <w:r>
        <w:rPr>
          <w:rFonts w:hint="eastAsia"/>
          <w:color w:val="auto"/>
          <w:szCs w:val="18"/>
        </w:rPr>
        <w:t>期：</w:t>
      </w:r>
    </w:p>
    <w:p>
      <w:pPr>
        <w:rPr>
          <w:color w:val="auto"/>
          <w:sz w:val="44"/>
          <w:u w:val="single"/>
        </w:rPr>
      </w:pPr>
      <w:r>
        <w:rPr>
          <w:rFonts w:hint="eastAsia" w:hAnsi="宋体"/>
          <w:color w:val="auto"/>
        </w:rPr>
        <w:t>附表</w:t>
      </w:r>
      <w:r>
        <w:rPr>
          <w:rFonts w:hAnsi="宋体"/>
          <w:color w:val="auto"/>
        </w:rPr>
        <w:t>3</w:t>
      </w:r>
      <w:r>
        <w:rPr>
          <w:rFonts w:hint="eastAsia" w:hAnsi="宋体"/>
          <w:color w:val="auto"/>
        </w:rPr>
        <w:t>：</w:t>
      </w:r>
      <w:r>
        <w:rPr>
          <w:rFonts w:hAnsi="宋体"/>
          <w:color w:val="auto"/>
        </w:rPr>
        <w:tab/>
      </w:r>
      <w:r>
        <w:rPr>
          <w:rFonts w:hAnsi="宋体"/>
          <w:color w:val="auto"/>
        </w:rPr>
        <w:tab/>
      </w:r>
      <w:r>
        <w:rPr>
          <w:rFonts w:hAnsi="宋体"/>
          <w:color w:val="auto"/>
        </w:rPr>
        <w:tab/>
      </w:r>
      <w:r>
        <w:rPr>
          <w:rFonts w:hAnsi="宋体"/>
          <w:color w:val="auto"/>
        </w:rPr>
        <w:t xml:space="preserve"> </w:t>
      </w:r>
      <w:r>
        <w:rPr>
          <w:rFonts w:hAnsi="宋体"/>
          <w:color w:val="auto"/>
        </w:rPr>
        <w:tab/>
      </w:r>
      <w:r>
        <w:rPr>
          <w:rFonts w:hAnsi="宋体"/>
          <w:color w:val="auto"/>
        </w:rPr>
        <w:t xml:space="preserve">                           </w:t>
      </w:r>
      <w:r>
        <w:rPr>
          <w:rFonts w:hint="eastAsia" w:eastAsia="黑体"/>
          <w:color w:val="auto"/>
          <w:sz w:val="44"/>
          <w:u w:val="single"/>
        </w:rPr>
        <w:t>商务评分表（  ）包</w:t>
      </w:r>
    </w:p>
    <w:tbl>
      <w:tblPr>
        <w:tblStyle w:val="58"/>
        <w:tblW w:w="147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16"/>
        <w:gridCol w:w="1654"/>
        <w:gridCol w:w="1455"/>
        <w:gridCol w:w="8865"/>
        <w:gridCol w:w="1170"/>
        <w:gridCol w:w="12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31" w:hRule="atLeast"/>
          <w:jc w:val="center"/>
        </w:trPr>
        <w:tc>
          <w:tcPr>
            <w:tcW w:w="416" w:type="dxa"/>
            <w:shd w:val="clear" w:color="auto" w:fill="D9D9D9"/>
            <w:vAlign w:val="center"/>
          </w:tcPr>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序号</w:t>
            </w:r>
          </w:p>
        </w:tc>
        <w:tc>
          <w:tcPr>
            <w:tcW w:w="1654" w:type="dxa"/>
            <w:shd w:val="clear" w:color="auto" w:fill="D9D9D9"/>
            <w:vAlign w:val="center"/>
          </w:tcPr>
          <w:p>
            <w:pPr>
              <w:jc w:val="cente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评审项目</w:t>
            </w:r>
          </w:p>
        </w:tc>
        <w:tc>
          <w:tcPr>
            <w:tcW w:w="1455" w:type="dxa"/>
            <w:shd w:val="clear" w:color="auto" w:fill="D9D9D9"/>
            <w:vAlign w:val="center"/>
          </w:tcPr>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分配分数</w:t>
            </w:r>
          </w:p>
        </w:tc>
        <w:tc>
          <w:tcPr>
            <w:tcW w:w="8865" w:type="dxa"/>
            <w:shd w:val="clear" w:color="auto" w:fill="D9D9D9"/>
            <w:vAlign w:val="center"/>
          </w:tcPr>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评议内容及评分标准</w:t>
            </w:r>
          </w:p>
        </w:tc>
        <w:tc>
          <w:tcPr>
            <w:tcW w:w="1170" w:type="dxa"/>
            <w:shd w:val="clear" w:color="auto" w:fill="D9D9D9"/>
            <w:vAlign w:val="center"/>
          </w:tcPr>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投标人</w:t>
            </w:r>
          </w:p>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w:t>
            </w:r>
          </w:p>
        </w:tc>
        <w:tc>
          <w:tcPr>
            <w:tcW w:w="1200" w:type="dxa"/>
            <w:shd w:val="clear" w:color="auto" w:fill="D9D9D9"/>
            <w:vAlign w:val="center"/>
          </w:tcPr>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投标人</w:t>
            </w:r>
          </w:p>
          <w:p>
            <w:pPr>
              <w:rPr>
                <w:rFonts w:hint="eastAsia" w:ascii="Times New Roman" w:hAnsi="宋体" w:eastAsia="宋体" w:cs="Times New Roman"/>
                <w:color w:val="000000"/>
                <w:kern w:val="2"/>
                <w:sz w:val="28"/>
                <w:szCs w:val="28"/>
                <w:lang w:val="en-US" w:eastAsia="zh-CN" w:bidi="ar-SA"/>
              </w:rPr>
            </w:pPr>
            <w:r>
              <w:rPr>
                <w:rFonts w:hint="eastAsia" w:ascii="Times New Roman" w:hAnsi="宋体" w:eastAsia="宋体" w:cs="Times New Roman"/>
                <w:color w:val="000000"/>
                <w:kern w:val="2"/>
                <w:sz w:val="28"/>
                <w:szCs w:val="28"/>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jc w:val="center"/>
        </w:trPr>
        <w:tc>
          <w:tcPr>
            <w:tcW w:w="416" w:type="dxa"/>
            <w:tcBorders>
              <w:bottom w:val="single" w:color="auto" w:sz="4" w:space="0"/>
            </w:tcBorders>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w:t>
            </w:r>
          </w:p>
        </w:tc>
        <w:tc>
          <w:tcPr>
            <w:tcW w:w="1654" w:type="dxa"/>
            <w:vMerge w:val="restart"/>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规模</w:t>
            </w:r>
          </w:p>
        </w:tc>
        <w:tc>
          <w:tcPr>
            <w:tcW w:w="1455" w:type="dxa"/>
            <w:tcBorders>
              <w:bottom w:val="single" w:color="auto" w:sz="4" w:space="0"/>
            </w:tcBorders>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10</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占地面积。优：10； 良：8；中：5；差：3</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4" w:hRule="atLeast"/>
          <w:jc w:val="center"/>
        </w:trPr>
        <w:tc>
          <w:tcPr>
            <w:tcW w:w="416" w:type="dxa"/>
            <w:tcBorders>
              <w:top w:val="single" w:color="auto" w:sz="4" w:space="0"/>
            </w:tcBorders>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2</w:t>
            </w:r>
          </w:p>
        </w:tc>
        <w:tc>
          <w:tcPr>
            <w:tcW w:w="1654" w:type="dxa"/>
            <w:vMerge w:val="continue"/>
            <w:vAlign w:val="center"/>
          </w:tcPr>
          <w:p>
            <w:pPr>
              <w:jc w:val="center"/>
              <w:rPr>
                <w:rFonts w:hint="eastAsia" w:ascii="Times New Roman" w:hAnsi="宋体" w:eastAsia="宋体" w:cs="Times New Roman"/>
                <w:color w:val="000000"/>
                <w:kern w:val="2"/>
                <w:sz w:val="24"/>
                <w:szCs w:val="24"/>
                <w:lang w:val="en-US" w:eastAsia="zh-CN" w:bidi="ar-SA"/>
              </w:rPr>
            </w:pPr>
          </w:p>
        </w:tc>
        <w:tc>
          <w:tcPr>
            <w:tcW w:w="1455" w:type="dxa"/>
            <w:tcBorders>
              <w:top w:val="single" w:color="auto" w:sz="4" w:space="0"/>
            </w:tcBorders>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10</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投标油站加油机数量。优：10； 良：8；中：5；差：3</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2" w:hRule="atLeast"/>
          <w:jc w:val="center"/>
        </w:trPr>
        <w:tc>
          <w:tcPr>
            <w:tcW w:w="416" w:type="dxa"/>
            <w:tcBorders>
              <w:top w:val="single" w:color="auto" w:sz="4" w:space="0"/>
            </w:tcBorders>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3</w:t>
            </w:r>
          </w:p>
        </w:tc>
        <w:tc>
          <w:tcPr>
            <w:tcW w:w="1654" w:type="dxa"/>
            <w:vMerge w:val="continue"/>
            <w:vAlign w:val="center"/>
          </w:tcPr>
          <w:p>
            <w:pPr>
              <w:jc w:val="center"/>
              <w:rPr>
                <w:rFonts w:hint="eastAsia" w:ascii="Times New Roman" w:hAnsi="宋体" w:eastAsia="宋体" w:cs="Times New Roman"/>
                <w:color w:val="000000"/>
                <w:kern w:val="2"/>
                <w:sz w:val="24"/>
                <w:szCs w:val="24"/>
                <w:lang w:val="en-US" w:eastAsia="zh-CN" w:bidi="ar-SA"/>
              </w:rPr>
            </w:pPr>
          </w:p>
        </w:tc>
        <w:tc>
          <w:tcPr>
            <w:tcW w:w="1455" w:type="dxa"/>
            <w:tcBorders>
              <w:top w:val="single" w:color="auto" w:sz="4" w:space="0"/>
            </w:tcBorders>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10</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每日可供油数量。优：10； 良：8；中：5；差：3</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9" w:hRule="atLeast"/>
          <w:jc w:val="center"/>
        </w:trPr>
        <w:tc>
          <w:tcPr>
            <w:tcW w:w="416"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4</w:t>
            </w:r>
          </w:p>
        </w:tc>
        <w:tc>
          <w:tcPr>
            <w:tcW w:w="1654" w:type="dxa"/>
            <w:vMerge w:val="restart"/>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人员及管理</w:t>
            </w:r>
          </w:p>
        </w:tc>
        <w:tc>
          <w:tcPr>
            <w:tcW w:w="1455"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15</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服务人员和设备。优：15； 良：12；中：8；差：4</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416"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5</w:t>
            </w:r>
          </w:p>
        </w:tc>
        <w:tc>
          <w:tcPr>
            <w:tcW w:w="1654" w:type="dxa"/>
            <w:vMerge w:val="continue"/>
            <w:vAlign w:val="center"/>
          </w:tcPr>
          <w:p>
            <w:pPr>
              <w:jc w:val="center"/>
              <w:rPr>
                <w:rFonts w:hint="eastAsia" w:ascii="Times New Roman" w:hAnsi="宋体" w:eastAsia="宋体" w:cs="Times New Roman"/>
                <w:color w:val="000000"/>
                <w:kern w:val="2"/>
                <w:sz w:val="24"/>
                <w:szCs w:val="24"/>
                <w:lang w:val="en-US" w:eastAsia="zh-CN" w:bidi="ar-SA"/>
              </w:rPr>
            </w:pPr>
          </w:p>
        </w:tc>
        <w:tc>
          <w:tcPr>
            <w:tcW w:w="1455"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10</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管理制度、管理状况。优：10； 良：8；中：5；差：3</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416"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6</w:t>
            </w:r>
          </w:p>
        </w:tc>
        <w:tc>
          <w:tcPr>
            <w:tcW w:w="1654"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便利性</w:t>
            </w:r>
          </w:p>
        </w:tc>
        <w:tc>
          <w:tcPr>
            <w:tcW w:w="1455"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35</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交通便利性，位置的远近（东区：投标加油站与招标人办公地点（中山五路15号海关大院）直线距离2公里内为优，2-3公里为良，3-4公里为中，4公里以上为差；其它四个镇区：投标加油站与招标人办公地点直线距离2公里内为优，2-4公里为良，4-6公里为中，6-10公里为差）</w:t>
            </w:r>
          </w:p>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优：35； 良：25；中：15；差：5</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81" w:hRule="atLeast"/>
          <w:jc w:val="center"/>
        </w:trPr>
        <w:tc>
          <w:tcPr>
            <w:tcW w:w="416"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7</w:t>
            </w:r>
          </w:p>
        </w:tc>
        <w:tc>
          <w:tcPr>
            <w:tcW w:w="1654"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其他服务</w:t>
            </w:r>
          </w:p>
        </w:tc>
        <w:tc>
          <w:tcPr>
            <w:tcW w:w="1455"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10</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服务承诺及其他项目服务方案。优：10； 良：8；中：5；差：3</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2070" w:type="dxa"/>
            <w:gridSpan w:val="2"/>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合计</w:t>
            </w:r>
          </w:p>
        </w:tc>
        <w:tc>
          <w:tcPr>
            <w:tcW w:w="1455" w:type="dxa"/>
            <w:vAlign w:val="center"/>
          </w:tcPr>
          <w:p>
            <w:pPr>
              <w:jc w:val="cente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100</w:t>
            </w:r>
          </w:p>
        </w:tc>
        <w:tc>
          <w:tcPr>
            <w:tcW w:w="8865" w:type="dxa"/>
            <w:vAlign w:val="center"/>
          </w:tcPr>
          <w:p>
            <w:pPr>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得分总计</w:t>
            </w:r>
          </w:p>
        </w:tc>
        <w:tc>
          <w:tcPr>
            <w:tcW w:w="1170" w:type="dxa"/>
            <w:vAlign w:val="center"/>
          </w:tcPr>
          <w:p>
            <w:pPr>
              <w:rPr>
                <w:rFonts w:hint="eastAsia" w:ascii="Times New Roman" w:hAnsi="宋体" w:eastAsia="宋体" w:cs="Times New Roman"/>
                <w:color w:val="000000"/>
                <w:kern w:val="2"/>
                <w:sz w:val="28"/>
                <w:szCs w:val="28"/>
                <w:lang w:val="en-US" w:eastAsia="zh-CN" w:bidi="ar-SA"/>
              </w:rPr>
            </w:pPr>
          </w:p>
        </w:tc>
        <w:tc>
          <w:tcPr>
            <w:tcW w:w="1200" w:type="dxa"/>
            <w:vAlign w:val="center"/>
          </w:tcPr>
          <w:p>
            <w:pPr>
              <w:rPr>
                <w:rFonts w:hint="eastAsia" w:ascii="Times New Roman" w:hAnsi="宋体" w:eastAsia="宋体" w:cs="Times New Roman"/>
                <w:color w:val="000000"/>
                <w:kern w:val="2"/>
                <w:sz w:val="28"/>
                <w:szCs w:val="28"/>
                <w:lang w:val="en-US" w:eastAsia="zh-CN" w:bidi="ar-SA"/>
              </w:rPr>
            </w:pPr>
          </w:p>
        </w:tc>
      </w:tr>
    </w:tbl>
    <w:p>
      <w:pPr>
        <w:spacing w:line="360" w:lineRule="auto"/>
        <w:ind w:left="-2" w:leftChars="-1"/>
        <w:rPr>
          <w:rFonts w:ascii="宋体" w:hAnsi="宋体"/>
          <w:b/>
          <w:color w:val="auto"/>
          <w:szCs w:val="18"/>
        </w:rPr>
      </w:pPr>
      <w:r>
        <w:rPr>
          <w:rFonts w:hint="eastAsia"/>
          <w:b/>
          <w:color w:val="auto"/>
          <w:szCs w:val="21"/>
        </w:rPr>
        <w:t>若投标人提供的资料不是由投标人自己出具证明的，</w:t>
      </w:r>
      <w:r>
        <w:rPr>
          <w:rFonts w:hint="eastAsia" w:hAnsi="宋体"/>
          <w:b/>
          <w:color w:val="auto"/>
          <w:szCs w:val="21"/>
        </w:rPr>
        <w:t>须在投标截止时间前提供原件供评委核查，不提交原件不得分。</w:t>
      </w:r>
    </w:p>
    <w:p>
      <w:pPr>
        <w:spacing w:line="360" w:lineRule="auto"/>
        <w:rPr>
          <w:rFonts w:ascii="宋体" w:hAnsi="宋体"/>
          <w:color w:val="auto"/>
          <w:szCs w:val="18"/>
        </w:rPr>
      </w:pPr>
      <w:r>
        <w:rPr>
          <w:rFonts w:hint="eastAsia" w:ascii="宋体" w:hAnsi="宋体"/>
          <w:color w:val="auto"/>
          <w:szCs w:val="18"/>
        </w:rPr>
        <w:t>注：</w:t>
      </w:r>
      <w:r>
        <w:rPr>
          <w:rFonts w:hint="eastAsia" w:ascii="Arial" w:hAnsi="Arial" w:cs="Arial"/>
          <w:color w:val="auto"/>
        </w:rPr>
        <w:t>评委对各投标文件进行比较后打分，最好的为优，其余的根据优劣相应的打分，评分单项打分低于分配分数</w:t>
      </w:r>
      <w:r>
        <w:rPr>
          <w:rFonts w:ascii="Arial" w:hAnsi="Arial" w:cs="Arial"/>
          <w:color w:val="auto"/>
        </w:rPr>
        <w:t>60</w:t>
      </w:r>
      <w:r>
        <w:rPr>
          <w:rFonts w:hint="eastAsia" w:ascii="Arial" w:hAnsi="Arial" w:cs="Arial"/>
          <w:color w:val="auto"/>
        </w:rPr>
        <w:t>％需文字说明</w:t>
      </w:r>
      <w:r>
        <w:rPr>
          <w:rFonts w:hint="eastAsia" w:ascii="宋体" w:hAnsi="宋体"/>
          <w:color w:val="auto"/>
          <w:szCs w:val="18"/>
        </w:rPr>
        <w:t>。</w:t>
      </w:r>
    </w:p>
    <w:p>
      <w:pPr>
        <w:spacing w:line="360" w:lineRule="auto"/>
        <w:ind w:left="-2" w:leftChars="-1"/>
        <w:rPr>
          <w:color w:val="auto"/>
          <w:szCs w:val="21"/>
        </w:rPr>
      </w:pPr>
      <w:r>
        <w:rPr>
          <w:rFonts w:hint="eastAsia" w:ascii="宋体" w:hAnsi="宋体"/>
          <w:color w:val="auto"/>
          <w:szCs w:val="18"/>
        </w:rPr>
        <w:t>评委</w:t>
      </w:r>
      <w:r>
        <w:rPr>
          <w:rFonts w:hint="eastAsia"/>
          <w:color w:val="auto"/>
          <w:szCs w:val="18"/>
        </w:rPr>
        <w:t>签名：</w:t>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Pr>
          <w:rFonts w:hint="eastAsia"/>
          <w:color w:val="auto"/>
          <w:szCs w:val="18"/>
        </w:rPr>
        <w:t>日</w:t>
      </w:r>
      <w:r>
        <w:rPr>
          <w:color w:val="auto"/>
          <w:szCs w:val="18"/>
        </w:rPr>
        <w:t xml:space="preserve">    </w:t>
      </w:r>
      <w:r>
        <w:rPr>
          <w:rFonts w:hint="eastAsia"/>
          <w:color w:val="auto"/>
          <w:szCs w:val="18"/>
        </w:rPr>
        <w:t>期：</w:t>
      </w:r>
    </w:p>
    <w:p>
      <w:pPr>
        <w:spacing w:line="360" w:lineRule="auto"/>
        <w:rPr>
          <w:color w:val="auto"/>
          <w:szCs w:val="21"/>
        </w:rPr>
      </w:pPr>
    </w:p>
    <w:p>
      <w:pPr>
        <w:snapToGrid w:val="0"/>
        <w:spacing w:line="300" w:lineRule="exact"/>
        <w:jc w:val="both"/>
        <w:rPr>
          <w:color w:val="auto"/>
        </w:rPr>
        <w:sectPr>
          <w:pgSz w:w="16840" w:h="11907" w:orient="landscape"/>
          <w:pgMar w:top="1304" w:right="1418" w:bottom="1304" w:left="1418" w:header="794" w:footer="794" w:gutter="0"/>
          <w:cols w:space="720" w:num="1"/>
          <w:docGrid w:linePitch="285" w:charSpace="0"/>
        </w:sectPr>
      </w:pPr>
    </w:p>
    <w:p>
      <w:pPr>
        <w:pageBreakBefore/>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p>
    <w:p>
      <w:pPr>
        <w:spacing w:line="480" w:lineRule="exact"/>
        <w:jc w:val="center"/>
        <w:rPr>
          <w:rFonts w:eastAsia="黑体"/>
          <w:b/>
          <w:color w:val="auto"/>
          <w:sz w:val="44"/>
        </w:rPr>
      </w:pPr>
      <w:r>
        <w:rPr>
          <w:rFonts w:hint="eastAsia" w:eastAsia="黑体"/>
          <w:b/>
          <w:color w:val="auto"/>
          <w:sz w:val="44"/>
        </w:rPr>
        <w:t>第五部分</w:t>
      </w:r>
    </w:p>
    <w:p>
      <w:pPr>
        <w:spacing w:line="480" w:lineRule="exact"/>
        <w:jc w:val="center"/>
        <w:rPr>
          <w:rFonts w:eastAsia="黑体"/>
          <w:b/>
          <w:color w:val="auto"/>
          <w:sz w:val="44"/>
        </w:rPr>
      </w:pPr>
    </w:p>
    <w:p>
      <w:pPr>
        <w:spacing w:line="480" w:lineRule="exact"/>
        <w:jc w:val="center"/>
        <w:rPr>
          <w:color w:val="auto"/>
          <w:sz w:val="24"/>
        </w:rPr>
      </w:pPr>
      <w:r>
        <w:rPr>
          <w:rFonts w:hint="eastAsia" w:eastAsia="黑体"/>
          <w:b/>
          <w:color w:val="auto"/>
          <w:sz w:val="44"/>
        </w:rPr>
        <w:t>合</w:t>
      </w:r>
      <w:r>
        <w:rPr>
          <w:rFonts w:eastAsia="黑体"/>
          <w:b/>
          <w:color w:val="auto"/>
          <w:sz w:val="44"/>
        </w:rPr>
        <w:t xml:space="preserve"> </w:t>
      </w:r>
      <w:r>
        <w:rPr>
          <w:rFonts w:hint="eastAsia" w:eastAsia="黑体"/>
          <w:b/>
          <w:color w:val="auto"/>
          <w:sz w:val="44"/>
        </w:rPr>
        <w:t>同</w:t>
      </w:r>
      <w:r>
        <w:rPr>
          <w:rFonts w:eastAsia="黑体"/>
          <w:b/>
          <w:color w:val="auto"/>
          <w:sz w:val="44"/>
        </w:rPr>
        <w:t xml:space="preserve"> </w:t>
      </w:r>
      <w:r>
        <w:rPr>
          <w:rFonts w:hint="eastAsia" w:eastAsia="黑体"/>
          <w:b/>
          <w:color w:val="auto"/>
          <w:sz w:val="44"/>
        </w:rPr>
        <w:t>格 式</w:t>
      </w: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tabs>
          <w:tab w:val="left" w:pos="840"/>
        </w:tabs>
        <w:spacing w:line="480" w:lineRule="exact"/>
        <w:ind w:firstLine="456"/>
        <w:jc w:val="center"/>
        <w:rPr>
          <w:b/>
          <w:color w:val="auto"/>
          <w:sz w:val="32"/>
        </w:rPr>
      </w:pPr>
    </w:p>
    <w:p>
      <w:pPr>
        <w:spacing w:line="360" w:lineRule="auto"/>
        <w:rPr>
          <w:color w:val="auto"/>
          <w:szCs w:val="21"/>
        </w:rPr>
      </w:pPr>
    </w:p>
    <w:p>
      <w:pPr>
        <w:adjustRightInd w:val="0"/>
        <w:snapToGrid w:val="0"/>
        <w:spacing w:line="360" w:lineRule="auto"/>
        <w:ind w:left="1680"/>
        <w:rPr>
          <w:b/>
          <w:color w:val="auto"/>
          <w:szCs w:val="21"/>
        </w:rPr>
        <w:sectPr>
          <w:headerReference r:id="rId9" w:type="default"/>
          <w:footerReference r:id="rId10" w:type="default"/>
          <w:footerReference r:id="rId11" w:type="even"/>
          <w:pgSz w:w="11907" w:h="16840"/>
          <w:pgMar w:top="1418" w:right="1304" w:bottom="1418" w:left="1304" w:header="851" w:footer="851" w:gutter="0"/>
          <w:cols w:space="720" w:num="1"/>
          <w:docGrid w:linePitch="312" w:charSpace="0"/>
        </w:sectPr>
      </w:pPr>
    </w:p>
    <w:p>
      <w:pPr>
        <w:adjustRightInd w:val="0"/>
        <w:snapToGrid w:val="0"/>
        <w:spacing w:line="480" w:lineRule="auto"/>
        <w:jc w:val="distribute"/>
        <w:rPr>
          <w:rFonts w:ascii="宋体" w:hAnsi="宋体"/>
          <w:b/>
          <w:color w:val="auto"/>
          <w:spacing w:val="20"/>
          <w:sz w:val="60"/>
          <w:szCs w:val="60"/>
        </w:rPr>
      </w:pPr>
    </w:p>
    <w:p>
      <w:pPr>
        <w:adjustRightInd w:val="0"/>
        <w:snapToGrid w:val="0"/>
        <w:spacing w:line="480" w:lineRule="auto"/>
        <w:jc w:val="center"/>
        <w:rPr>
          <w:rFonts w:ascii="宋体" w:hAnsi="宋体"/>
          <w:b/>
          <w:color w:val="auto"/>
          <w:spacing w:val="20"/>
          <w:sz w:val="60"/>
          <w:szCs w:val="60"/>
        </w:rPr>
      </w:pPr>
      <w:r>
        <w:rPr>
          <w:rFonts w:hint="eastAsia" w:ascii="宋体" w:hAnsi="宋体"/>
          <w:b/>
          <w:color w:val="auto"/>
          <w:spacing w:val="20"/>
          <w:sz w:val="60"/>
          <w:szCs w:val="60"/>
        </w:rPr>
        <w:t>中山海关公务车辆201</w:t>
      </w:r>
      <w:r>
        <w:rPr>
          <w:rFonts w:hint="eastAsia" w:ascii="宋体" w:hAnsi="宋体"/>
          <w:b/>
          <w:color w:val="auto"/>
          <w:spacing w:val="20"/>
          <w:sz w:val="60"/>
          <w:szCs w:val="60"/>
          <w:lang w:val="en-US" w:eastAsia="zh-CN"/>
        </w:rPr>
        <w:t>8</w:t>
      </w:r>
      <w:r>
        <w:rPr>
          <w:rFonts w:hint="eastAsia" w:ascii="宋体" w:hAnsi="宋体"/>
          <w:b/>
          <w:color w:val="auto"/>
          <w:spacing w:val="20"/>
          <w:sz w:val="60"/>
          <w:szCs w:val="60"/>
        </w:rPr>
        <w:t>-20</w:t>
      </w:r>
      <w:r>
        <w:rPr>
          <w:rFonts w:hint="eastAsia" w:ascii="宋体" w:hAnsi="宋体"/>
          <w:b/>
          <w:color w:val="auto"/>
          <w:spacing w:val="20"/>
          <w:sz w:val="60"/>
          <w:szCs w:val="60"/>
          <w:lang w:val="en-US" w:eastAsia="zh-CN"/>
        </w:rPr>
        <w:t>20</w:t>
      </w:r>
      <w:r>
        <w:rPr>
          <w:rFonts w:hint="eastAsia" w:ascii="宋体" w:hAnsi="宋体"/>
          <w:b/>
          <w:color w:val="auto"/>
          <w:spacing w:val="20"/>
          <w:sz w:val="60"/>
          <w:szCs w:val="60"/>
        </w:rPr>
        <w:t>年定点加油采购项目</w:t>
      </w:r>
    </w:p>
    <w:p>
      <w:pPr>
        <w:adjustRightInd w:val="0"/>
        <w:snapToGrid w:val="0"/>
        <w:spacing w:line="360" w:lineRule="auto"/>
        <w:jc w:val="center"/>
        <w:rPr>
          <w:rFonts w:ascii="宋体" w:hAnsi="宋体"/>
          <w:b/>
          <w:color w:val="auto"/>
          <w:spacing w:val="200"/>
          <w:sz w:val="96"/>
        </w:rPr>
      </w:pPr>
      <w:r>
        <w:rPr>
          <w:rFonts w:hint="eastAsia" w:ascii="宋体" w:hAnsi="宋体"/>
          <w:b/>
          <w:color w:val="auto"/>
          <w:spacing w:val="200"/>
          <w:sz w:val="96"/>
        </w:rPr>
        <w:t>合同书</w:t>
      </w:r>
    </w:p>
    <w:p>
      <w:pPr>
        <w:adjustRightInd w:val="0"/>
        <w:snapToGrid w:val="0"/>
        <w:spacing w:line="360" w:lineRule="auto"/>
        <w:jc w:val="center"/>
        <w:rPr>
          <w:rFonts w:ascii="宋体" w:hAnsi="宋体"/>
          <w:b/>
          <w:color w:val="auto"/>
          <w:sz w:val="28"/>
        </w:rPr>
      </w:pPr>
      <w:r>
        <w:rPr>
          <w:rFonts w:hint="eastAsia" w:ascii="宋体" w:hAnsi="宋体"/>
          <w:b/>
          <w:color w:val="auto"/>
          <w:sz w:val="28"/>
        </w:rPr>
        <w:t>（</w:t>
      </w:r>
      <w:r>
        <w:rPr>
          <w:rFonts w:hint="eastAsia"/>
          <w:b/>
          <w:color w:val="auto"/>
          <w:sz w:val="24"/>
        </w:rPr>
        <w:t>服务类</w:t>
      </w:r>
      <w:r>
        <w:rPr>
          <w:rFonts w:hint="eastAsia" w:ascii="宋体" w:hAnsi="宋体"/>
          <w:b/>
          <w:color w:val="auto"/>
          <w:sz w:val="28"/>
        </w:rPr>
        <w:t>）</w:t>
      </w:r>
    </w:p>
    <w:p>
      <w:pPr>
        <w:adjustRightInd w:val="0"/>
        <w:snapToGrid w:val="0"/>
        <w:spacing w:line="360" w:lineRule="auto"/>
        <w:jc w:val="center"/>
        <w:rPr>
          <w:rFonts w:ascii="宋体" w:hAnsi="宋体"/>
          <w:b/>
          <w:color w:val="auto"/>
          <w:sz w:val="32"/>
        </w:rPr>
      </w:pPr>
    </w:p>
    <w:p>
      <w:pPr>
        <w:spacing w:line="360" w:lineRule="auto"/>
        <w:jc w:val="center"/>
        <w:rPr>
          <w:rFonts w:ascii="宋体"/>
          <w:b/>
          <w:color w:val="auto"/>
          <w:szCs w:val="21"/>
        </w:rPr>
      </w:pPr>
      <w:r>
        <w:rPr>
          <w:rFonts w:hint="eastAsia" w:ascii="宋体"/>
          <w:b/>
          <w:color w:val="auto"/>
          <w:szCs w:val="21"/>
        </w:rPr>
        <w:t>（注：此合同为参考合同，以本招标文件的《用户需求书》的要求为基础，根据采购人需求签订合同，以采购人与中标单位签订成交合同为准，采购人</w:t>
      </w:r>
      <w:r>
        <w:rPr>
          <w:rFonts w:ascii="宋体"/>
          <w:b/>
          <w:color w:val="auto"/>
          <w:szCs w:val="21"/>
        </w:rPr>
        <w:t>有权在签订合同时对合同的相关条款及内容作进一步的细化和修改。</w:t>
      </w:r>
      <w:r>
        <w:rPr>
          <w:rFonts w:hint="eastAsia" w:ascii="宋体"/>
          <w:b/>
          <w:color w:val="auto"/>
          <w:szCs w:val="21"/>
        </w:rPr>
        <w:t>）</w:t>
      </w:r>
    </w:p>
    <w:p>
      <w:pPr>
        <w:ind w:left="720"/>
        <w:rPr>
          <w:color w:val="auto"/>
          <w:sz w:val="28"/>
        </w:rPr>
      </w:pPr>
    </w:p>
    <w:p>
      <w:pPr>
        <w:rPr>
          <w:color w:val="auto"/>
          <w:sz w:val="28"/>
        </w:rPr>
      </w:pPr>
    </w:p>
    <w:p>
      <w:pPr>
        <w:ind w:left="720"/>
        <w:rPr>
          <w:color w:val="auto"/>
          <w:sz w:val="28"/>
        </w:rPr>
      </w:pPr>
    </w:p>
    <w:p>
      <w:pPr>
        <w:ind w:left="720" w:leftChars="343" w:firstLine="480" w:firstLineChars="200"/>
        <w:rPr>
          <w:color w:val="auto"/>
          <w:sz w:val="24"/>
          <w:szCs w:val="24"/>
        </w:rPr>
      </w:pPr>
      <w:r>
        <w:rPr>
          <w:rFonts w:hint="eastAsia"/>
          <w:color w:val="auto"/>
          <w:sz w:val="24"/>
          <w:szCs w:val="24"/>
        </w:rPr>
        <w:t>项目名称：</w:t>
      </w:r>
      <w:r>
        <w:rPr>
          <w:color w:val="auto"/>
          <w:sz w:val="24"/>
          <w:szCs w:val="24"/>
        </w:rPr>
        <w:t xml:space="preserve">_____________________________ </w:t>
      </w:r>
    </w:p>
    <w:p>
      <w:pPr>
        <w:rPr>
          <w:color w:val="auto"/>
          <w:sz w:val="24"/>
          <w:szCs w:val="24"/>
        </w:rPr>
      </w:pPr>
      <w:r>
        <w:rPr>
          <w:color w:val="auto"/>
          <w:sz w:val="24"/>
          <w:szCs w:val="24"/>
        </w:rPr>
        <w:t xml:space="preserve">          </w:t>
      </w:r>
      <w:r>
        <w:rPr>
          <w:rFonts w:hint="eastAsia"/>
          <w:color w:val="auto"/>
          <w:sz w:val="24"/>
          <w:szCs w:val="24"/>
        </w:rPr>
        <w:t>委托方（甲方）：</w:t>
      </w:r>
      <w:r>
        <w:rPr>
          <w:color w:val="auto"/>
          <w:sz w:val="24"/>
          <w:szCs w:val="24"/>
        </w:rPr>
        <w:t>________________________</w:t>
      </w:r>
      <w:r>
        <w:rPr>
          <w:rFonts w:hint="eastAsia"/>
          <w:color w:val="auto"/>
          <w:sz w:val="24"/>
          <w:szCs w:val="24"/>
        </w:rPr>
        <w:t xml:space="preserve"> </w:t>
      </w:r>
    </w:p>
    <w:p>
      <w:pPr>
        <w:rPr>
          <w:color w:val="auto"/>
          <w:sz w:val="24"/>
          <w:szCs w:val="24"/>
        </w:rPr>
      </w:pPr>
      <w:r>
        <w:rPr>
          <w:rFonts w:hint="eastAsia"/>
          <w:color w:val="auto"/>
          <w:sz w:val="24"/>
          <w:szCs w:val="24"/>
        </w:rPr>
        <w:t xml:space="preserve">          </w:t>
      </w:r>
    </w:p>
    <w:p>
      <w:pPr>
        <w:rPr>
          <w:color w:val="auto"/>
          <w:sz w:val="24"/>
          <w:szCs w:val="24"/>
        </w:rPr>
      </w:pPr>
      <w:r>
        <w:rPr>
          <w:color w:val="auto"/>
          <w:sz w:val="24"/>
          <w:szCs w:val="24"/>
        </w:rPr>
        <w:t xml:space="preserve">          </w:t>
      </w:r>
      <w:r>
        <w:rPr>
          <w:rFonts w:hint="eastAsia"/>
          <w:color w:val="auto"/>
          <w:sz w:val="24"/>
          <w:szCs w:val="24"/>
        </w:rPr>
        <w:t xml:space="preserve">受托方（乙方）：   </w:t>
      </w:r>
      <w:r>
        <w:rPr>
          <w:color w:val="auto"/>
          <w:sz w:val="24"/>
          <w:szCs w:val="24"/>
        </w:rPr>
        <w:t xml:space="preserve">_____________________        </w:t>
      </w:r>
    </w:p>
    <w:p>
      <w:pPr>
        <w:rPr>
          <w:color w:val="auto"/>
          <w:sz w:val="24"/>
          <w:szCs w:val="24"/>
        </w:rPr>
      </w:pPr>
      <w:r>
        <w:rPr>
          <w:color w:val="auto"/>
          <w:sz w:val="24"/>
          <w:szCs w:val="24"/>
        </w:rPr>
        <w:t xml:space="preserve">          </w:t>
      </w:r>
    </w:p>
    <w:p>
      <w:pPr>
        <w:rPr>
          <w:color w:val="auto"/>
          <w:sz w:val="24"/>
          <w:szCs w:val="24"/>
        </w:rPr>
      </w:pPr>
      <w:r>
        <w:rPr>
          <w:rFonts w:hint="eastAsia"/>
          <w:color w:val="auto"/>
          <w:sz w:val="24"/>
          <w:szCs w:val="24"/>
        </w:rPr>
        <w:t xml:space="preserve">          签订时间：</w:t>
      </w:r>
      <w:r>
        <w:rPr>
          <w:color w:val="auto"/>
          <w:sz w:val="24"/>
          <w:szCs w:val="24"/>
        </w:rPr>
        <w:t xml:space="preserve">_____________________________          </w:t>
      </w:r>
    </w:p>
    <w:p>
      <w:pPr>
        <w:rPr>
          <w:color w:val="auto"/>
          <w:sz w:val="24"/>
          <w:szCs w:val="24"/>
        </w:rPr>
      </w:pPr>
      <w:r>
        <w:rPr>
          <w:color w:val="auto"/>
          <w:sz w:val="24"/>
          <w:szCs w:val="24"/>
        </w:rPr>
        <w:t xml:space="preserve">          </w:t>
      </w:r>
      <w:r>
        <w:rPr>
          <w:rFonts w:hint="eastAsia"/>
          <w:color w:val="auto"/>
          <w:sz w:val="24"/>
          <w:szCs w:val="24"/>
        </w:rPr>
        <w:t>签订地点：</w:t>
      </w:r>
      <w:r>
        <w:rPr>
          <w:color w:val="auto"/>
          <w:sz w:val="24"/>
          <w:szCs w:val="24"/>
        </w:rPr>
        <w:t xml:space="preserve">______________________________          </w:t>
      </w:r>
    </w:p>
    <w:p>
      <w:pPr>
        <w:rPr>
          <w:color w:val="auto"/>
          <w:sz w:val="28"/>
          <w:u w:val="single"/>
        </w:rPr>
      </w:pPr>
      <w:r>
        <w:rPr>
          <w:color w:val="auto"/>
          <w:sz w:val="24"/>
          <w:szCs w:val="24"/>
        </w:rPr>
        <w:t xml:space="preserve">          </w:t>
      </w:r>
      <w:r>
        <w:rPr>
          <w:rFonts w:hint="eastAsia"/>
          <w:color w:val="auto"/>
          <w:sz w:val="24"/>
          <w:szCs w:val="24"/>
        </w:rPr>
        <w:t>有效期限：</w:t>
      </w:r>
      <w:r>
        <w:rPr>
          <w:color w:val="auto"/>
          <w:sz w:val="24"/>
          <w:szCs w:val="24"/>
        </w:rPr>
        <w:t>______________________________</w:t>
      </w:r>
    </w:p>
    <w:p>
      <w:pPr>
        <w:rPr>
          <w:color w:val="auto"/>
          <w:sz w:val="28"/>
          <w:u w:val="single"/>
        </w:rPr>
      </w:pPr>
    </w:p>
    <w:p>
      <w:pPr>
        <w:pStyle w:val="25"/>
        <w:spacing w:line="360" w:lineRule="auto"/>
        <w:rPr>
          <w:rFonts w:hint="eastAsia"/>
          <w:b/>
          <w:bCs/>
          <w:color w:val="auto"/>
          <w:szCs w:val="21"/>
        </w:rPr>
      </w:pPr>
      <w:r>
        <w:rPr>
          <w:rFonts w:hint="eastAsia"/>
          <w:b/>
          <w:bCs/>
          <w:color w:val="auto"/>
          <w:szCs w:val="21"/>
        </w:rPr>
        <w:br w:type="page"/>
      </w:r>
    </w:p>
    <w:p>
      <w:pPr>
        <w:pStyle w:val="25"/>
        <w:spacing w:line="360" w:lineRule="auto"/>
        <w:rPr>
          <w:b/>
          <w:bCs/>
          <w:color w:val="auto"/>
          <w:szCs w:val="21"/>
        </w:rPr>
      </w:pPr>
      <w:r>
        <w:rPr>
          <w:rFonts w:hint="eastAsia"/>
          <w:b/>
          <w:bCs/>
          <w:color w:val="auto"/>
          <w:szCs w:val="21"/>
        </w:rPr>
        <w:t>甲方：</w:t>
      </w:r>
      <w:r>
        <w:rPr>
          <w:b/>
          <w:bCs/>
          <w:color w:val="auto"/>
          <w:szCs w:val="21"/>
        </w:rPr>
        <w:t>中华人民共和国中山海关</w:t>
      </w:r>
    </w:p>
    <w:p>
      <w:pPr>
        <w:pStyle w:val="25"/>
        <w:spacing w:line="360" w:lineRule="auto"/>
        <w:rPr>
          <w:color w:val="auto"/>
          <w:szCs w:val="21"/>
        </w:rPr>
      </w:pPr>
      <w:r>
        <w:rPr>
          <w:rFonts w:hint="eastAsia"/>
          <w:b/>
          <w:bCs/>
          <w:color w:val="auto"/>
          <w:szCs w:val="21"/>
        </w:rPr>
        <w:t xml:space="preserve">乙方： </w:t>
      </w:r>
    </w:p>
    <w:p>
      <w:pPr>
        <w:pStyle w:val="25"/>
        <w:spacing w:line="360" w:lineRule="auto"/>
        <w:ind w:firstLine="420"/>
        <w:rPr>
          <w:color w:val="auto"/>
          <w:szCs w:val="21"/>
        </w:rPr>
      </w:pPr>
      <w:r>
        <w:rPr>
          <w:rFonts w:hint="eastAsia"/>
          <w:color w:val="auto"/>
          <w:szCs w:val="21"/>
        </w:rPr>
        <w:t>为加强和规范公务用车定点加油工作，依据《中华人民共和国合同法》等有关法律、法规的规定，遵循平等、自愿、公平和诚实信用的原则，经甲乙双方协商一致，就甲方公务用车定点加油事宜签订如下合同条款，以共同遵守。</w:t>
      </w:r>
    </w:p>
    <w:p>
      <w:pPr>
        <w:pStyle w:val="25"/>
        <w:spacing w:line="360" w:lineRule="auto"/>
        <w:ind w:firstLine="420"/>
        <w:rPr>
          <w:color w:val="auto"/>
          <w:szCs w:val="21"/>
        </w:rPr>
      </w:pPr>
    </w:p>
    <w:p>
      <w:pPr>
        <w:pStyle w:val="25"/>
        <w:spacing w:line="360" w:lineRule="auto"/>
        <w:rPr>
          <w:b/>
          <w:bCs/>
          <w:color w:val="auto"/>
          <w:szCs w:val="21"/>
        </w:rPr>
      </w:pPr>
      <w:r>
        <w:rPr>
          <w:rFonts w:hint="eastAsia"/>
          <w:color w:val="auto"/>
          <w:szCs w:val="21"/>
        </w:rPr>
        <w:t xml:space="preserve">   </w:t>
      </w:r>
      <w:r>
        <w:rPr>
          <w:rFonts w:hint="eastAsia"/>
          <w:b/>
          <w:bCs/>
          <w:color w:val="auto"/>
          <w:szCs w:val="21"/>
        </w:rPr>
        <w:t>一、乙方向甲方提供的服务项目</w:t>
      </w:r>
    </w:p>
    <w:p>
      <w:pPr>
        <w:pStyle w:val="25"/>
        <w:spacing w:line="360" w:lineRule="auto"/>
        <w:rPr>
          <w:color w:val="auto"/>
          <w:szCs w:val="21"/>
        </w:rPr>
      </w:pPr>
      <w:r>
        <w:rPr>
          <w:rFonts w:hint="eastAsia"/>
          <w:color w:val="auto"/>
          <w:szCs w:val="21"/>
        </w:rPr>
        <w:t xml:space="preserve">    l、乙方为甲方系统全部公务用车提供定点加油及相关一系列服务。</w:t>
      </w:r>
    </w:p>
    <w:p>
      <w:pPr>
        <w:pStyle w:val="25"/>
        <w:spacing w:line="360" w:lineRule="auto"/>
        <w:ind w:firstLine="420"/>
        <w:rPr>
          <w:color w:val="auto"/>
          <w:szCs w:val="21"/>
        </w:rPr>
      </w:pPr>
      <w:r>
        <w:rPr>
          <w:rFonts w:hint="eastAsia"/>
          <w:color w:val="auto"/>
          <w:szCs w:val="21"/>
        </w:rPr>
        <w:t>2、定点加油油品类别包括：0号柴油、92号汽油、95号汽油。乙方根据甲方提供的限定资料设定车辆加油卡限制信息。</w:t>
      </w:r>
    </w:p>
    <w:p>
      <w:pPr>
        <w:pStyle w:val="25"/>
        <w:spacing w:line="360" w:lineRule="auto"/>
        <w:ind w:firstLine="420"/>
        <w:rPr>
          <w:color w:val="auto"/>
          <w:szCs w:val="21"/>
        </w:rPr>
      </w:pPr>
      <w:r>
        <w:rPr>
          <w:rFonts w:hint="eastAsia"/>
          <w:color w:val="auto"/>
          <w:szCs w:val="21"/>
        </w:rPr>
        <w:t>3、加油卡的办理及使用。甲方车辆持乙方加油卡在其下属加油站加油。</w:t>
      </w:r>
    </w:p>
    <w:p>
      <w:pPr>
        <w:spacing w:line="360" w:lineRule="auto"/>
        <w:ind w:firstLine="420" w:firstLineChars="200"/>
        <w:rPr>
          <w:color w:val="auto"/>
          <w:szCs w:val="21"/>
        </w:rPr>
      </w:pPr>
      <w:r>
        <w:rPr>
          <w:color w:val="auto"/>
          <w:szCs w:val="21"/>
        </w:rPr>
        <w:t>1</w:t>
      </w:r>
      <w:r>
        <w:rPr>
          <w:rFonts w:hint="eastAsia"/>
          <w:color w:val="auto"/>
          <w:szCs w:val="21"/>
        </w:rPr>
        <w:t>）加油卡的开设。加油卡采用主副卡方式。主卡为管理卡，甲方开设一张，用于充值、分配等管理。每车对应一张副卡，只可用于加油。另外，根据甲方的车辆情况，乙方为甲方开设25张备用卡（每个油站设备用卡5张），以备出现</w:t>
      </w:r>
      <w:r>
        <w:rPr>
          <w:color w:val="auto"/>
          <w:szCs w:val="21"/>
        </w:rPr>
        <w:t>IC</w:t>
      </w:r>
      <w:r>
        <w:rPr>
          <w:rFonts w:hint="eastAsia"/>
          <w:color w:val="auto"/>
          <w:szCs w:val="21"/>
        </w:rPr>
        <w:t>卡故障、丢失等异常情况时可及时更改信息使用，保障正常的车辆用油。</w:t>
      </w:r>
    </w:p>
    <w:p>
      <w:pPr>
        <w:spacing w:line="360" w:lineRule="auto"/>
        <w:ind w:firstLine="420" w:firstLineChars="200"/>
        <w:rPr>
          <w:rFonts w:ascii="宋体" w:hAnsi="宋体"/>
          <w:color w:val="auto"/>
          <w:szCs w:val="21"/>
        </w:rPr>
      </w:pPr>
      <w:r>
        <w:rPr>
          <w:color w:val="auto"/>
          <w:szCs w:val="21"/>
        </w:rPr>
        <w:t>2</w:t>
      </w:r>
      <w:r>
        <w:rPr>
          <w:rFonts w:hint="eastAsia"/>
          <w:color w:val="auto"/>
          <w:szCs w:val="21"/>
        </w:rPr>
        <w:t>）</w:t>
      </w:r>
      <w:r>
        <w:rPr>
          <w:rFonts w:hint="eastAsia" w:ascii="宋体" w:hAnsi="宋体"/>
          <w:color w:val="auto"/>
          <w:szCs w:val="21"/>
        </w:rPr>
        <w:t>加油卡损坏、遗失等异常事件的处理。如果加油卡损坏，甲方相关人员凭旧卡到各加油网点换取新卡；如果加油卡遗失，甲方相关人员凭甲方开具的证明（加盖公章）及备用卡，自行到乙方指定网点办理旧加油卡的挂失手续，把旧卡信息更改到备用卡内。如遇以上情况，乙方应及时处理，保证甲方正常使用。每半年根据甲方需求，一次性补足备用卡总数。</w:t>
      </w:r>
    </w:p>
    <w:p>
      <w:pPr>
        <w:spacing w:line="360" w:lineRule="auto"/>
        <w:ind w:firstLine="420"/>
        <w:rPr>
          <w:color w:val="auto"/>
          <w:szCs w:val="21"/>
        </w:rPr>
      </w:pPr>
    </w:p>
    <w:p>
      <w:pPr>
        <w:pStyle w:val="25"/>
        <w:spacing w:line="360" w:lineRule="auto"/>
        <w:rPr>
          <w:b/>
          <w:bCs/>
          <w:color w:val="auto"/>
          <w:szCs w:val="21"/>
        </w:rPr>
      </w:pPr>
      <w:r>
        <w:rPr>
          <w:rFonts w:hint="eastAsia"/>
          <w:color w:val="auto"/>
          <w:szCs w:val="21"/>
        </w:rPr>
        <w:t xml:space="preserve"> </w:t>
      </w:r>
      <w:r>
        <w:rPr>
          <w:rFonts w:hint="eastAsia"/>
          <w:b/>
          <w:bCs/>
          <w:color w:val="auto"/>
          <w:szCs w:val="21"/>
        </w:rPr>
        <w:t xml:space="preserve"> 二、费用及结算</w:t>
      </w:r>
    </w:p>
    <w:p>
      <w:pPr>
        <w:pStyle w:val="25"/>
        <w:numPr>
          <w:ilvl w:val="0"/>
          <w:numId w:val="10"/>
        </w:numPr>
        <w:spacing w:line="360" w:lineRule="auto"/>
        <w:rPr>
          <w:color w:val="auto"/>
          <w:szCs w:val="21"/>
        </w:rPr>
      </w:pPr>
      <w:r>
        <w:rPr>
          <w:rFonts w:hint="eastAsia"/>
          <w:color w:val="auto"/>
          <w:szCs w:val="21"/>
        </w:rPr>
        <w:t>公务用车加油服务应在物价部门批准的价格基础上每升油料优惠如下</w:t>
      </w:r>
      <w:r>
        <w:rPr>
          <w:rFonts w:hint="eastAsia"/>
          <w:color w:val="auto"/>
          <w:szCs w:val="21"/>
          <w:lang w:eastAsia="zh-CN"/>
        </w:rPr>
        <w:t>（</w:t>
      </w:r>
      <w:r>
        <w:rPr>
          <w:rFonts w:hint="eastAsia" w:ascii="宋体" w:hAnsi="宋体"/>
          <w:color w:val="auto"/>
          <w:szCs w:val="21"/>
        </w:rPr>
        <w:t>提供的成品油的质量必须符合国家的有关质量规定</w:t>
      </w:r>
      <w:r>
        <w:rPr>
          <w:rFonts w:hint="eastAsia"/>
          <w:color w:val="auto"/>
          <w:szCs w:val="21"/>
          <w:lang w:eastAsia="zh-CN"/>
        </w:rPr>
        <w:t>）</w:t>
      </w:r>
      <w:r>
        <w:rPr>
          <w:rFonts w:hint="eastAsia"/>
          <w:color w:val="auto"/>
          <w:szCs w:val="21"/>
        </w:rPr>
        <w:t>：</w:t>
      </w:r>
    </w:p>
    <w:p>
      <w:pPr>
        <w:pStyle w:val="25"/>
        <w:numPr>
          <w:ilvl w:val="0"/>
          <w:numId w:val="11"/>
        </w:numPr>
        <w:spacing w:line="360" w:lineRule="auto"/>
        <w:rPr>
          <w:color w:val="auto"/>
          <w:szCs w:val="21"/>
        </w:rPr>
      </w:pPr>
      <w:r>
        <w:rPr>
          <w:rFonts w:hint="eastAsia"/>
          <w:color w:val="auto"/>
          <w:szCs w:val="21"/>
        </w:rPr>
        <w:t>0#柴油优惠：       元（大写：）</w:t>
      </w:r>
    </w:p>
    <w:p>
      <w:pPr>
        <w:pStyle w:val="25"/>
        <w:numPr>
          <w:ilvl w:val="0"/>
          <w:numId w:val="11"/>
        </w:numPr>
        <w:spacing w:line="360" w:lineRule="auto"/>
        <w:rPr>
          <w:color w:val="auto"/>
          <w:szCs w:val="21"/>
        </w:rPr>
      </w:pPr>
      <w:r>
        <w:rPr>
          <w:rFonts w:hint="eastAsia"/>
          <w:color w:val="auto"/>
          <w:szCs w:val="21"/>
        </w:rPr>
        <w:t>92#汽油优惠：      元（大写：）</w:t>
      </w:r>
    </w:p>
    <w:p>
      <w:pPr>
        <w:pStyle w:val="25"/>
        <w:numPr>
          <w:ilvl w:val="0"/>
          <w:numId w:val="11"/>
        </w:numPr>
        <w:spacing w:line="360" w:lineRule="auto"/>
        <w:rPr>
          <w:color w:val="auto"/>
          <w:szCs w:val="21"/>
        </w:rPr>
      </w:pPr>
      <w:r>
        <w:rPr>
          <w:rFonts w:hint="eastAsia"/>
          <w:color w:val="auto"/>
          <w:szCs w:val="21"/>
        </w:rPr>
        <w:t>95#汽油优惠：      元（大写：）</w:t>
      </w:r>
    </w:p>
    <w:p>
      <w:pPr>
        <w:spacing w:line="360" w:lineRule="auto"/>
        <w:ind w:firstLine="210" w:firstLineChars="100"/>
        <w:rPr>
          <w:color w:val="auto"/>
          <w:szCs w:val="21"/>
        </w:rPr>
      </w:pPr>
      <w:r>
        <w:rPr>
          <w:color w:val="auto"/>
          <w:szCs w:val="21"/>
        </w:rPr>
        <w:t>2</w:t>
      </w:r>
      <w:r>
        <w:rPr>
          <w:rFonts w:hint="eastAsia"/>
          <w:color w:val="auto"/>
          <w:szCs w:val="21"/>
        </w:rPr>
        <w:t>、加油卡的充值。乙方收到甲方的汇款当日，立即向甲方主卡内充值，并及时知会甲方到指定网点圈存副卡。甲方委托乙方对甲方全系统车辆主副卡充值金额进行动态监控，即当出现主卡余额不足时，乙方及时通知甲方进行充值；在主卡充值总金额内，副卡余额不足时，乙方及时补充副卡用油金额。</w:t>
      </w:r>
    </w:p>
    <w:p>
      <w:pPr>
        <w:pStyle w:val="25"/>
        <w:spacing w:line="360" w:lineRule="auto"/>
        <w:ind w:firstLine="210" w:firstLineChars="100"/>
        <w:rPr>
          <w:color w:val="auto"/>
          <w:szCs w:val="21"/>
        </w:rPr>
      </w:pPr>
      <w:r>
        <w:rPr>
          <w:rFonts w:hint="eastAsia"/>
          <w:color w:val="auto"/>
          <w:szCs w:val="21"/>
        </w:rPr>
        <w:t>3、结算：</w:t>
      </w:r>
      <w:r>
        <w:rPr>
          <w:rFonts w:hint="eastAsia" w:hAnsi="宋体"/>
          <w:color w:val="auto"/>
          <w:szCs w:val="21"/>
        </w:rPr>
        <w:t>采用先付款后充值的方式。</w:t>
      </w:r>
      <w:r>
        <w:rPr>
          <w:rFonts w:hint="eastAsia"/>
          <w:color w:val="auto"/>
          <w:szCs w:val="21"/>
        </w:rPr>
        <w:t>甲方</w:t>
      </w:r>
      <w:r>
        <w:rPr>
          <w:rFonts w:hint="eastAsia" w:hAnsi="宋体"/>
          <w:color w:val="auto"/>
          <w:szCs w:val="21"/>
        </w:rPr>
        <w:t>根据车辆用油情况，在每月初收到乙方报送的上个月甲方公务车辆用油明细清单和发票后，在8个工作日内向乙方支付上个月供油货款；乙方可以提出与本身业务相适应、更安全、快捷的结算方式，但需经甲方书面同意。乙方应当于每月向甲方提供加油IC卡对账单，加油对账单包含以下内容：单位名称、卡号、油品种类、数量、单价、金额、卡上余额等。</w:t>
      </w:r>
      <w:r>
        <w:rPr>
          <w:rFonts w:hint="eastAsia"/>
          <w:color w:val="auto"/>
          <w:szCs w:val="21"/>
        </w:rPr>
        <w:t xml:space="preserve"> </w:t>
      </w:r>
    </w:p>
    <w:p>
      <w:pPr>
        <w:pStyle w:val="25"/>
        <w:spacing w:line="360" w:lineRule="auto"/>
        <w:ind w:firstLine="420" w:firstLineChars="200"/>
        <w:rPr>
          <w:color w:val="auto"/>
          <w:szCs w:val="21"/>
        </w:rPr>
      </w:pPr>
      <w:r>
        <w:rPr>
          <w:rFonts w:hint="eastAsia"/>
          <w:color w:val="auto"/>
          <w:szCs w:val="21"/>
        </w:rPr>
        <w:t>4、乙方对甲方首次办理加油卡，及今后因新增车辆、加油卡损坏和遗失等情况办理的加油卡应全部免费办理。</w:t>
      </w:r>
    </w:p>
    <w:p>
      <w:pPr>
        <w:pStyle w:val="25"/>
        <w:spacing w:line="360" w:lineRule="auto"/>
        <w:rPr>
          <w:color w:val="auto"/>
          <w:szCs w:val="21"/>
        </w:rPr>
      </w:pPr>
    </w:p>
    <w:p>
      <w:pPr>
        <w:pStyle w:val="25"/>
        <w:spacing w:line="360" w:lineRule="auto"/>
        <w:ind w:firstLine="251" w:firstLineChars="119"/>
        <w:rPr>
          <w:color w:val="auto"/>
          <w:szCs w:val="21"/>
        </w:rPr>
      </w:pPr>
      <w:r>
        <w:rPr>
          <w:rFonts w:hint="eastAsia"/>
          <w:b/>
          <w:bCs/>
          <w:color w:val="auto"/>
          <w:szCs w:val="21"/>
        </w:rPr>
        <w:t>三、履约保证金</w:t>
      </w:r>
    </w:p>
    <w:p>
      <w:pPr>
        <w:pStyle w:val="25"/>
        <w:numPr>
          <w:ilvl w:val="0"/>
          <w:numId w:val="12"/>
        </w:numPr>
        <w:tabs>
          <w:tab w:val="left" w:pos="570"/>
        </w:tabs>
        <w:spacing w:line="360" w:lineRule="auto"/>
        <w:ind w:left="0" w:firstLine="210"/>
        <w:rPr>
          <w:color w:val="auto"/>
          <w:szCs w:val="21"/>
        </w:rPr>
      </w:pPr>
      <w:r>
        <w:rPr>
          <w:rFonts w:hint="eastAsia"/>
          <w:color w:val="auto"/>
          <w:szCs w:val="21"/>
        </w:rPr>
        <w:t>乙方应在</w:t>
      </w:r>
      <w:r>
        <w:rPr>
          <w:rFonts w:hint="eastAsia" w:hAnsi="宋体"/>
          <w:color w:val="auto"/>
        </w:rPr>
        <w:t>收到采购代理机构的中标通知书后三十（30）天内</w:t>
      </w:r>
      <w:r>
        <w:rPr>
          <w:rFonts w:hint="eastAsia"/>
          <w:color w:val="auto"/>
          <w:szCs w:val="21"/>
        </w:rPr>
        <w:t>，在合同签订前向甲方交纳</w:t>
      </w:r>
      <w:r>
        <w:rPr>
          <w:rFonts w:hint="eastAsia"/>
          <w:color w:val="auto"/>
        </w:rPr>
        <w:t>履约保证金或</w:t>
      </w:r>
      <w:r>
        <w:rPr>
          <w:rFonts w:hint="eastAsia"/>
          <w:color w:val="auto"/>
          <w:szCs w:val="21"/>
        </w:rPr>
        <w:t>银行履约保函，金额为每个包0.5万元人民币，合同期满且无违约行为的乙方可全额无息取回履约保证金。</w:t>
      </w:r>
    </w:p>
    <w:p>
      <w:pPr>
        <w:pStyle w:val="25"/>
        <w:numPr>
          <w:ilvl w:val="0"/>
          <w:numId w:val="12"/>
        </w:numPr>
        <w:tabs>
          <w:tab w:val="left" w:pos="570"/>
        </w:tabs>
        <w:spacing w:line="360" w:lineRule="auto"/>
        <w:ind w:left="570" w:hanging="360"/>
        <w:rPr>
          <w:color w:val="auto"/>
          <w:szCs w:val="21"/>
        </w:rPr>
      </w:pPr>
      <w:r>
        <w:rPr>
          <w:rFonts w:hint="eastAsia"/>
          <w:color w:val="auto"/>
          <w:szCs w:val="21"/>
        </w:rPr>
        <w:t>如乙方存在违约行为，甲方有权直接从履约保证金中扣除赔偿，不足部分由乙方予以补足。保证金扣除后，乙方应在三日内补充完毕。</w:t>
      </w:r>
    </w:p>
    <w:p>
      <w:pPr>
        <w:pStyle w:val="25"/>
        <w:numPr>
          <w:ilvl w:val="0"/>
          <w:numId w:val="12"/>
        </w:numPr>
        <w:tabs>
          <w:tab w:val="left" w:pos="570"/>
        </w:tabs>
        <w:spacing w:line="360" w:lineRule="auto"/>
        <w:ind w:left="570" w:hanging="360"/>
        <w:rPr>
          <w:color w:val="auto"/>
          <w:szCs w:val="21"/>
        </w:rPr>
      </w:pPr>
      <w:r>
        <w:rPr>
          <w:rFonts w:hint="eastAsia"/>
          <w:color w:val="auto"/>
          <w:szCs w:val="21"/>
        </w:rPr>
        <w:t>履约保函的有效期至合同有效期满。</w:t>
      </w:r>
    </w:p>
    <w:p>
      <w:pPr>
        <w:pStyle w:val="25"/>
        <w:spacing w:line="360" w:lineRule="auto"/>
        <w:rPr>
          <w:color w:val="auto"/>
          <w:szCs w:val="21"/>
        </w:rPr>
      </w:pPr>
    </w:p>
    <w:p>
      <w:pPr>
        <w:pStyle w:val="25"/>
        <w:spacing w:line="360" w:lineRule="auto"/>
        <w:rPr>
          <w:b/>
          <w:bCs/>
          <w:color w:val="auto"/>
          <w:szCs w:val="21"/>
        </w:rPr>
      </w:pPr>
      <w:r>
        <w:rPr>
          <w:rFonts w:hint="eastAsia"/>
          <w:b/>
          <w:color w:val="auto"/>
          <w:szCs w:val="21"/>
        </w:rPr>
        <w:t xml:space="preserve">   四、甲方的权利和义务</w:t>
      </w:r>
    </w:p>
    <w:p>
      <w:pPr>
        <w:pStyle w:val="25"/>
        <w:spacing w:line="360" w:lineRule="auto"/>
        <w:rPr>
          <w:color w:val="auto"/>
          <w:szCs w:val="21"/>
        </w:rPr>
      </w:pPr>
      <w:r>
        <w:rPr>
          <w:rFonts w:hint="eastAsia"/>
          <w:color w:val="auto"/>
          <w:szCs w:val="21"/>
        </w:rPr>
        <w:t xml:space="preserve">   1、甲方公务用车享有优先加油的权利；</w:t>
      </w:r>
    </w:p>
    <w:p>
      <w:pPr>
        <w:pStyle w:val="22"/>
        <w:ind w:left="606" w:leftChars="150" w:hanging="291" w:hangingChars="139"/>
        <w:rPr>
          <w:color w:val="auto"/>
          <w:sz w:val="21"/>
          <w:szCs w:val="21"/>
        </w:rPr>
      </w:pPr>
      <w:r>
        <w:rPr>
          <w:color w:val="auto"/>
          <w:sz w:val="21"/>
          <w:szCs w:val="21"/>
        </w:rPr>
        <w:t>2</w:t>
      </w:r>
      <w:r>
        <w:rPr>
          <w:rFonts w:hint="eastAsia"/>
          <w:color w:val="auto"/>
          <w:sz w:val="21"/>
          <w:szCs w:val="21"/>
        </w:rPr>
        <w:t>、甲方须限定车号加油，甲方驾驶员在加油时应当积极配合乙方员工核对加油卡限制信息。甲方不得将加油卡提供给与加油卡限定信息不符的其他车辆加油使用。</w:t>
      </w:r>
    </w:p>
    <w:p>
      <w:pPr>
        <w:pStyle w:val="22"/>
        <w:snapToGrid w:val="0"/>
        <w:ind w:left="86" w:leftChars="41" w:firstLine="210" w:firstLineChars="100"/>
        <w:rPr>
          <w:color w:val="auto"/>
          <w:sz w:val="21"/>
          <w:szCs w:val="21"/>
        </w:rPr>
      </w:pPr>
      <w:r>
        <w:rPr>
          <w:color w:val="auto"/>
          <w:sz w:val="21"/>
          <w:szCs w:val="21"/>
        </w:rPr>
        <w:t>3</w:t>
      </w:r>
      <w:r>
        <w:rPr>
          <w:rFonts w:hint="eastAsia"/>
          <w:color w:val="auto"/>
          <w:sz w:val="21"/>
          <w:szCs w:val="21"/>
        </w:rPr>
        <w:t>、甲方应为乙方上门或函证对账提供便利。</w:t>
      </w:r>
    </w:p>
    <w:p>
      <w:pPr>
        <w:spacing w:line="360" w:lineRule="auto"/>
        <w:ind w:left="2" w:leftChars="1" w:firstLine="315" w:firstLineChars="150"/>
        <w:rPr>
          <w:color w:val="auto"/>
          <w:szCs w:val="21"/>
        </w:rPr>
      </w:pPr>
      <w:r>
        <w:rPr>
          <w:color w:val="auto"/>
          <w:szCs w:val="21"/>
        </w:rPr>
        <w:t>4</w:t>
      </w:r>
      <w:r>
        <w:rPr>
          <w:rFonts w:hint="eastAsia"/>
          <w:color w:val="auto"/>
          <w:szCs w:val="21"/>
        </w:rPr>
        <w:t>、甲方若对乙方提供的对账单有异议，应在收到对账单十个工作日内书面通知乙方，由甲乙双方共同审核交易明细。若甲方收到对账单十个工作日内未向乙方提出书面异议，则视为甲方已确认对账单数据。</w:t>
      </w:r>
    </w:p>
    <w:p>
      <w:pPr>
        <w:pStyle w:val="25"/>
        <w:spacing w:line="360" w:lineRule="auto"/>
        <w:rPr>
          <w:color w:val="auto"/>
          <w:szCs w:val="21"/>
        </w:rPr>
      </w:pPr>
    </w:p>
    <w:p>
      <w:pPr>
        <w:pStyle w:val="25"/>
        <w:spacing w:line="360" w:lineRule="auto"/>
        <w:rPr>
          <w:b/>
          <w:bCs/>
          <w:color w:val="auto"/>
          <w:szCs w:val="21"/>
        </w:rPr>
      </w:pPr>
      <w:r>
        <w:rPr>
          <w:rFonts w:hint="eastAsia"/>
          <w:color w:val="auto"/>
          <w:szCs w:val="21"/>
        </w:rPr>
        <w:t xml:space="preserve">   </w:t>
      </w:r>
      <w:r>
        <w:rPr>
          <w:rFonts w:hint="eastAsia"/>
          <w:b/>
          <w:bCs/>
          <w:color w:val="auto"/>
          <w:szCs w:val="21"/>
        </w:rPr>
        <w:t>五、乙方的权利和义务</w:t>
      </w:r>
    </w:p>
    <w:p>
      <w:pPr>
        <w:pStyle w:val="25"/>
        <w:spacing w:line="360" w:lineRule="auto"/>
        <w:rPr>
          <w:b/>
          <w:bCs/>
          <w:color w:val="auto"/>
          <w:szCs w:val="21"/>
        </w:rPr>
      </w:pPr>
      <w:r>
        <w:rPr>
          <w:rFonts w:hint="eastAsia"/>
          <w:b/>
          <w:bCs/>
          <w:color w:val="auto"/>
          <w:szCs w:val="21"/>
        </w:rPr>
        <w:t xml:space="preserve">   1、</w:t>
      </w:r>
      <w:r>
        <w:rPr>
          <w:rFonts w:hint="eastAsia"/>
          <w:color w:val="auto"/>
          <w:szCs w:val="21"/>
        </w:rPr>
        <w:t>乙方须于任何时间就与甲方进行的一切业务交易予以保密，不得向第三方披露任何根据本合同所进行的业务事项及交易。</w:t>
      </w:r>
    </w:p>
    <w:p>
      <w:pPr>
        <w:pStyle w:val="25"/>
        <w:spacing w:line="360" w:lineRule="auto"/>
        <w:rPr>
          <w:color w:val="auto"/>
          <w:szCs w:val="21"/>
        </w:rPr>
      </w:pPr>
      <w:r>
        <w:rPr>
          <w:rFonts w:hint="eastAsia"/>
          <w:color w:val="auto"/>
          <w:szCs w:val="21"/>
        </w:rPr>
        <w:t xml:space="preserve">   2、乙方依照中华人民共和国法律和各项规定维护甲方的合法权益，为甲方提供优质、方便、安全、快捷的服务。如遇资源紧张，乙方优先保证甲方车辆正常用油。</w:t>
      </w:r>
    </w:p>
    <w:p>
      <w:pPr>
        <w:spacing w:line="360" w:lineRule="auto"/>
        <w:ind w:firstLine="336" w:firstLineChars="160"/>
        <w:rPr>
          <w:color w:val="auto"/>
          <w:szCs w:val="21"/>
        </w:rPr>
      </w:pPr>
      <w:r>
        <w:rPr>
          <w:color w:val="auto"/>
          <w:szCs w:val="21"/>
        </w:rPr>
        <w:t>3</w:t>
      </w:r>
      <w:r>
        <w:rPr>
          <w:rFonts w:hint="eastAsia"/>
          <w:color w:val="auto"/>
          <w:szCs w:val="21"/>
        </w:rPr>
        <w:t>、乙方员工必须认真核对甲方加油车辆的牌号、油品类型、加油数量金额等各种加油卡限制信息，配合甲方加强车辆用油管理。</w:t>
      </w:r>
    </w:p>
    <w:p>
      <w:pPr>
        <w:spacing w:line="360" w:lineRule="auto"/>
        <w:ind w:firstLine="315" w:firstLineChars="150"/>
        <w:rPr>
          <w:color w:val="auto"/>
          <w:szCs w:val="21"/>
        </w:rPr>
      </w:pPr>
      <w:r>
        <w:rPr>
          <w:color w:val="auto"/>
          <w:szCs w:val="21"/>
        </w:rPr>
        <w:t>4</w:t>
      </w:r>
      <w:r>
        <w:rPr>
          <w:rFonts w:hint="eastAsia"/>
          <w:color w:val="auto"/>
          <w:szCs w:val="21"/>
        </w:rPr>
        <w:t>、乙方因业务发展引起的服务变更或有影响甲方使用加油卡的情况时，应提前书面通知甲方。</w:t>
      </w:r>
    </w:p>
    <w:p>
      <w:pPr>
        <w:spacing w:line="360" w:lineRule="auto"/>
        <w:ind w:firstLine="315" w:firstLineChars="150"/>
        <w:rPr>
          <w:color w:val="auto"/>
          <w:szCs w:val="21"/>
        </w:rPr>
      </w:pPr>
      <w:r>
        <w:rPr>
          <w:color w:val="auto"/>
          <w:szCs w:val="21"/>
        </w:rPr>
        <w:t>5</w:t>
      </w:r>
      <w:r>
        <w:rPr>
          <w:rFonts w:hint="eastAsia"/>
          <w:color w:val="auto"/>
          <w:szCs w:val="21"/>
        </w:rPr>
        <w:t>、乙方每月提供上门送对账单服务。</w:t>
      </w:r>
    </w:p>
    <w:p>
      <w:pPr>
        <w:pStyle w:val="25"/>
        <w:spacing w:line="360" w:lineRule="auto"/>
        <w:ind w:firstLine="315" w:firstLineChars="150"/>
        <w:rPr>
          <w:color w:val="auto"/>
          <w:szCs w:val="21"/>
        </w:rPr>
      </w:pPr>
      <w:r>
        <w:rPr>
          <w:rFonts w:hint="eastAsia"/>
          <w:color w:val="auto"/>
          <w:szCs w:val="21"/>
        </w:rPr>
        <w:t>6、乙方保证加油过程中的车辆安全；</w:t>
      </w:r>
    </w:p>
    <w:p>
      <w:pPr>
        <w:pStyle w:val="25"/>
        <w:spacing w:line="360" w:lineRule="auto"/>
        <w:rPr>
          <w:color w:val="auto"/>
          <w:szCs w:val="21"/>
        </w:rPr>
      </w:pPr>
      <w:r>
        <w:rPr>
          <w:rFonts w:hint="eastAsia"/>
          <w:color w:val="auto"/>
          <w:szCs w:val="21"/>
        </w:rPr>
        <w:t xml:space="preserve">   7、乙方保证汽车用油的质量及数量；</w:t>
      </w:r>
    </w:p>
    <w:p>
      <w:pPr>
        <w:pStyle w:val="25"/>
        <w:spacing w:line="360" w:lineRule="auto"/>
        <w:ind w:firstLine="315" w:firstLineChars="150"/>
        <w:rPr>
          <w:color w:val="auto"/>
          <w:szCs w:val="21"/>
        </w:rPr>
      </w:pPr>
      <w:r>
        <w:rPr>
          <w:rFonts w:hint="eastAsia"/>
          <w:color w:val="auto"/>
          <w:szCs w:val="21"/>
        </w:rPr>
        <w:t>8、本合同结算范围不包括购买除甲方公务车用油外的其他物品，若甲方用车人员提出此类要求乙方应予拒绝，并向甲方反映相关情况。</w:t>
      </w:r>
    </w:p>
    <w:p>
      <w:pPr>
        <w:pStyle w:val="25"/>
        <w:spacing w:line="360" w:lineRule="auto"/>
        <w:ind w:firstLine="315" w:firstLineChars="150"/>
        <w:rPr>
          <w:color w:val="auto"/>
          <w:szCs w:val="21"/>
        </w:rPr>
      </w:pPr>
      <w:r>
        <w:rPr>
          <w:rFonts w:hint="eastAsia"/>
          <w:color w:val="auto"/>
          <w:szCs w:val="21"/>
        </w:rPr>
        <w:t>9、乙方可拒绝甲方提出本合同规定服务范围以外的要求。</w:t>
      </w:r>
    </w:p>
    <w:p>
      <w:pPr>
        <w:pStyle w:val="25"/>
        <w:spacing w:line="360" w:lineRule="auto"/>
        <w:ind w:firstLine="420"/>
        <w:rPr>
          <w:color w:val="auto"/>
          <w:szCs w:val="21"/>
        </w:rPr>
      </w:pPr>
    </w:p>
    <w:p>
      <w:pPr>
        <w:pStyle w:val="25"/>
        <w:spacing w:line="360" w:lineRule="auto"/>
        <w:ind w:firstLine="420"/>
        <w:rPr>
          <w:b/>
          <w:bCs/>
          <w:color w:val="auto"/>
          <w:szCs w:val="21"/>
        </w:rPr>
      </w:pPr>
      <w:r>
        <w:rPr>
          <w:rFonts w:hint="eastAsia"/>
          <w:b/>
          <w:bCs/>
          <w:color w:val="auto"/>
          <w:szCs w:val="21"/>
        </w:rPr>
        <w:t>六、违约责任</w:t>
      </w:r>
    </w:p>
    <w:p>
      <w:pPr>
        <w:pStyle w:val="25"/>
        <w:spacing w:line="360" w:lineRule="auto"/>
        <w:ind w:firstLine="420"/>
        <w:rPr>
          <w:bCs/>
          <w:color w:val="auto"/>
          <w:szCs w:val="21"/>
        </w:rPr>
      </w:pPr>
      <w:r>
        <w:rPr>
          <w:rFonts w:hint="eastAsia"/>
          <w:bCs/>
          <w:color w:val="auto"/>
          <w:szCs w:val="21"/>
        </w:rPr>
        <w:t>1、若甲方将加油卡提供给加油卡限定信息不符的其他车辆加油使用，乙方在报告甲方后，可视实际情况冻结甲方该加油副卡账户。</w:t>
      </w:r>
    </w:p>
    <w:p>
      <w:pPr>
        <w:pStyle w:val="25"/>
        <w:spacing w:line="360" w:lineRule="auto"/>
        <w:ind w:firstLine="420"/>
        <w:rPr>
          <w:color w:val="auto"/>
          <w:szCs w:val="21"/>
        </w:rPr>
      </w:pPr>
      <w:r>
        <w:rPr>
          <w:rFonts w:hint="eastAsia"/>
          <w:bCs/>
          <w:color w:val="auto"/>
          <w:szCs w:val="21"/>
        </w:rPr>
        <w:t>2、</w:t>
      </w:r>
      <w:r>
        <w:rPr>
          <w:rFonts w:hint="eastAsia"/>
          <w:color w:val="auto"/>
          <w:szCs w:val="21"/>
        </w:rPr>
        <w:t>若乙方未按本合同的服务承诺提供服务，甲方有权追究乙方及其当事人的责任。</w:t>
      </w:r>
    </w:p>
    <w:p>
      <w:pPr>
        <w:pStyle w:val="25"/>
        <w:spacing w:line="360" w:lineRule="auto"/>
        <w:ind w:firstLine="420"/>
        <w:rPr>
          <w:bCs/>
          <w:color w:val="auto"/>
          <w:szCs w:val="21"/>
        </w:rPr>
      </w:pPr>
      <w:r>
        <w:rPr>
          <w:rFonts w:hint="eastAsia"/>
          <w:color w:val="auto"/>
          <w:szCs w:val="21"/>
        </w:rPr>
        <w:t>3、</w:t>
      </w:r>
      <w:r>
        <w:rPr>
          <w:rFonts w:hint="eastAsia" w:hAnsi="宋体"/>
          <w:color w:val="auto"/>
          <w:szCs w:val="21"/>
        </w:rPr>
        <w:t>乙方在服务过程中存在以次充好、任意抬高或变相抬高供应价格等任一行为的，甲方有权没收履约保证金，且甲方有权单方面解除本合同，造成甲方因此而支出额外费用的，乙方同意承担一切费用（包括但不限于甲方遭受的索赔、损失、损害、承担责任、律师费等费用及开支）。</w:t>
      </w:r>
    </w:p>
    <w:p>
      <w:pPr>
        <w:pStyle w:val="25"/>
        <w:spacing w:line="360" w:lineRule="auto"/>
        <w:ind w:firstLine="420"/>
        <w:rPr>
          <w:color w:val="auto"/>
          <w:szCs w:val="21"/>
        </w:rPr>
      </w:pPr>
      <w:r>
        <w:rPr>
          <w:rFonts w:hint="eastAsia"/>
          <w:color w:val="auto"/>
          <w:szCs w:val="21"/>
        </w:rPr>
        <w:t>4、若乙方接受使用本合同范围内的加油卡资金为公务用车以外的车辆加油或购买油站除汽车用油外的物品，乙方应按违规加油金额或物品金额的5倍向甲方支付违约金。</w:t>
      </w:r>
    </w:p>
    <w:p>
      <w:pPr>
        <w:pStyle w:val="25"/>
        <w:spacing w:line="360" w:lineRule="auto"/>
        <w:ind w:firstLine="420"/>
        <w:rPr>
          <w:bCs/>
          <w:color w:val="auto"/>
          <w:szCs w:val="21"/>
        </w:rPr>
      </w:pPr>
      <w:r>
        <w:rPr>
          <w:rFonts w:hint="eastAsia"/>
          <w:color w:val="auto"/>
          <w:szCs w:val="21"/>
        </w:rPr>
        <w:t>5、因一方的违约行为造成对方的经济损失及守约方为维护自身的合法权益而支出的合理费用（包括但不限于诉讼费、仲裁费、律师费、差旅费等），均由违约方负责赔偿及承担。</w:t>
      </w:r>
    </w:p>
    <w:p>
      <w:pPr>
        <w:pStyle w:val="25"/>
        <w:spacing w:line="360" w:lineRule="auto"/>
        <w:ind w:left="630" w:hanging="630" w:hangingChars="300"/>
        <w:rPr>
          <w:color w:val="auto"/>
          <w:szCs w:val="21"/>
        </w:rPr>
      </w:pPr>
    </w:p>
    <w:p>
      <w:pPr>
        <w:pStyle w:val="25"/>
        <w:spacing w:line="360" w:lineRule="auto"/>
        <w:ind w:left="632" w:hanging="632" w:hangingChars="300"/>
        <w:rPr>
          <w:b/>
          <w:color w:val="auto"/>
          <w:szCs w:val="21"/>
        </w:rPr>
      </w:pPr>
      <w:r>
        <w:rPr>
          <w:rFonts w:hint="eastAsia"/>
          <w:b/>
          <w:color w:val="auto"/>
          <w:szCs w:val="21"/>
        </w:rPr>
        <w:t xml:space="preserve">    七、不可抗力</w:t>
      </w:r>
    </w:p>
    <w:p>
      <w:pPr>
        <w:spacing w:line="360" w:lineRule="auto"/>
        <w:ind w:left="2"/>
        <w:rPr>
          <w:color w:val="auto"/>
          <w:szCs w:val="21"/>
        </w:rPr>
      </w:pPr>
      <w:r>
        <w:rPr>
          <w:b/>
          <w:color w:val="auto"/>
          <w:szCs w:val="21"/>
        </w:rPr>
        <w:t xml:space="preserve"> </w:t>
      </w:r>
      <w:r>
        <w:rPr>
          <w:color w:val="auto"/>
          <w:szCs w:val="21"/>
        </w:rPr>
        <w:t xml:space="preserve">   1</w:t>
      </w:r>
      <w:r>
        <w:rPr>
          <w:rFonts w:hint="eastAsia"/>
          <w:color w:val="auto"/>
          <w:szCs w:val="21"/>
        </w:rPr>
        <w:t>、如果在合同执行过程中，乙方因不可抗力导致合同实施延误或不能履行合同义务的，不承担赔偿责任。</w:t>
      </w:r>
    </w:p>
    <w:p>
      <w:pPr>
        <w:spacing w:line="360" w:lineRule="auto"/>
        <w:rPr>
          <w:color w:val="auto"/>
          <w:szCs w:val="21"/>
        </w:rPr>
      </w:pPr>
      <w:r>
        <w:rPr>
          <w:color w:val="auto"/>
          <w:szCs w:val="21"/>
        </w:rPr>
        <w:t xml:space="preserve">   2</w:t>
      </w:r>
      <w:r>
        <w:rPr>
          <w:rFonts w:hint="eastAsia"/>
          <w:color w:val="auto"/>
          <w:szCs w:val="21"/>
        </w:rPr>
        <w:t>、本合同所述的“不可抗力”是指乙方无法控制、不可预见的事件。包括：战争、严重火灾、洪水、台风、地震以及其他非人为的事件。</w:t>
      </w:r>
    </w:p>
    <w:p>
      <w:pPr>
        <w:spacing w:line="360" w:lineRule="auto"/>
        <w:rPr>
          <w:color w:val="auto"/>
          <w:szCs w:val="21"/>
        </w:rPr>
      </w:pPr>
      <w:r>
        <w:rPr>
          <w:color w:val="auto"/>
          <w:szCs w:val="21"/>
        </w:rPr>
        <w:t xml:space="preserve">   3</w:t>
      </w:r>
      <w:r>
        <w:rPr>
          <w:rFonts w:hint="eastAsia"/>
          <w:color w:val="auto"/>
          <w:szCs w:val="21"/>
        </w:rPr>
        <w:t>、在不可抗力事件发生后，乙方应及时将情况通知甲方，并在</w:t>
      </w:r>
      <w:r>
        <w:rPr>
          <w:color w:val="auto"/>
          <w:szCs w:val="21"/>
        </w:rPr>
        <w:t>30</w:t>
      </w:r>
      <w:r>
        <w:rPr>
          <w:rFonts w:hint="eastAsia"/>
          <w:color w:val="auto"/>
          <w:szCs w:val="21"/>
        </w:rPr>
        <w:t>日内向甲方提供不可抗力事故的详情和有效证明文件，由合同双方根据对履行合同的影响程度，决定是否解除合同以及如何免除或部分免除责任。</w:t>
      </w:r>
    </w:p>
    <w:p>
      <w:pPr>
        <w:spacing w:line="360" w:lineRule="auto"/>
        <w:rPr>
          <w:color w:val="auto"/>
          <w:szCs w:val="21"/>
        </w:rPr>
      </w:pPr>
    </w:p>
    <w:p>
      <w:pPr>
        <w:pStyle w:val="25"/>
        <w:spacing w:line="360" w:lineRule="auto"/>
        <w:rPr>
          <w:b/>
          <w:bCs/>
          <w:color w:val="auto"/>
          <w:szCs w:val="21"/>
        </w:rPr>
      </w:pPr>
      <w:r>
        <w:rPr>
          <w:rFonts w:hint="eastAsia"/>
          <w:color w:val="auto"/>
          <w:szCs w:val="21"/>
        </w:rPr>
        <w:t xml:space="preserve">   </w:t>
      </w:r>
      <w:r>
        <w:rPr>
          <w:rFonts w:hint="eastAsia"/>
          <w:b/>
          <w:bCs/>
          <w:color w:val="auto"/>
          <w:szCs w:val="21"/>
        </w:rPr>
        <w:t>八、合同的期限与终止</w:t>
      </w:r>
    </w:p>
    <w:p>
      <w:pPr>
        <w:pStyle w:val="25"/>
        <w:spacing w:line="360" w:lineRule="auto"/>
        <w:rPr>
          <w:color w:val="auto"/>
          <w:szCs w:val="21"/>
        </w:rPr>
      </w:pPr>
      <w:r>
        <w:rPr>
          <w:rFonts w:hint="eastAsia"/>
          <w:color w:val="auto"/>
          <w:szCs w:val="21"/>
        </w:rPr>
        <w:t xml:space="preserve">    l、本合同自</w:t>
      </w:r>
      <w:r>
        <w:rPr>
          <w:rFonts w:hint="eastAsia"/>
          <w:color w:val="auto"/>
          <w:szCs w:val="21"/>
          <w:lang w:val="en-US" w:eastAsia="zh-CN"/>
        </w:rPr>
        <w:t xml:space="preserve">   </w:t>
      </w:r>
      <w:r>
        <w:rPr>
          <w:rFonts w:hint="eastAsia"/>
          <w:color w:val="auto"/>
          <w:szCs w:val="21"/>
        </w:rPr>
        <w:t>年</w:t>
      </w:r>
      <w:r>
        <w:rPr>
          <w:rFonts w:hint="eastAsia"/>
          <w:color w:val="auto"/>
          <w:szCs w:val="21"/>
          <w:lang w:val="en-US" w:eastAsia="zh-CN"/>
        </w:rPr>
        <w:t xml:space="preserve">   </w:t>
      </w:r>
      <w:r>
        <w:rPr>
          <w:rFonts w:hint="eastAsia"/>
          <w:color w:val="auto"/>
          <w:szCs w:val="21"/>
        </w:rPr>
        <w:t>月</w:t>
      </w:r>
      <w:r>
        <w:rPr>
          <w:rFonts w:hint="eastAsia"/>
          <w:color w:val="auto"/>
          <w:szCs w:val="21"/>
          <w:lang w:val="en-US" w:eastAsia="zh-CN"/>
        </w:rPr>
        <w:t xml:space="preserve">   </w:t>
      </w:r>
      <w:r>
        <w:rPr>
          <w:rFonts w:hint="eastAsia"/>
          <w:color w:val="auto"/>
          <w:szCs w:val="21"/>
        </w:rPr>
        <w:t>日起生效，至</w:t>
      </w:r>
      <w:r>
        <w:rPr>
          <w:rFonts w:hint="eastAsia"/>
          <w:color w:val="auto"/>
          <w:szCs w:val="21"/>
          <w:lang w:val="en-US" w:eastAsia="zh-CN"/>
        </w:rPr>
        <w:t xml:space="preserve">   </w:t>
      </w:r>
      <w:r>
        <w:rPr>
          <w:rFonts w:hint="eastAsia"/>
          <w:color w:val="auto"/>
          <w:szCs w:val="21"/>
        </w:rPr>
        <w:t>年</w:t>
      </w:r>
      <w:r>
        <w:rPr>
          <w:rFonts w:hint="eastAsia"/>
          <w:color w:val="auto"/>
          <w:szCs w:val="21"/>
          <w:lang w:val="en-US" w:eastAsia="zh-CN"/>
        </w:rPr>
        <w:t xml:space="preserve">  </w:t>
      </w:r>
      <w:r>
        <w:rPr>
          <w:rFonts w:hint="eastAsia"/>
          <w:color w:val="auto"/>
          <w:szCs w:val="21"/>
        </w:rPr>
        <w:t>月</w:t>
      </w:r>
      <w:r>
        <w:rPr>
          <w:rFonts w:hint="eastAsia"/>
          <w:color w:val="auto"/>
          <w:szCs w:val="21"/>
          <w:lang w:val="en-US" w:eastAsia="zh-CN"/>
        </w:rPr>
        <w:t xml:space="preserve">   </w:t>
      </w:r>
      <w:r>
        <w:rPr>
          <w:rFonts w:hint="eastAsia"/>
          <w:color w:val="auto"/>
          <w:szCs w:val="21"/>
        </w:rPr>
        <w:t>日终止。</w:t>
      </w:r>
    </w:p>
    <w:p>
      <w:pPr>
        <w:pStyle w:val="25"/>
        <w:spacing w:line="360" w:lineRule="auto"/>
        <w:ind w:firstLine="420"/>
        <w:rPr>
          <w:color w:val="auto"/>
          <w:szCs w:val="21"/>
        </w:rPr>
      </w:pPr>
      <w:r>
        <w:rPr>
          <w:rFonts w:hint="eastAsia"/>
          <w:color w:val="auto"/>
          <w:szCs w:val="21"/>
        </w:rPr>
        <w:t>2、本合同可在下列情况下以书面形式立即终止：</w:t>
      </w:r>
    </w:p>
    <w:p>
      <w:pPr>
        <w:pStyle w:val="25"/>
        <w:spacing w:line="360" w:lineRule="auto"/>
        <w:ind w:firstLine="420"/>
        <w:rPr>
          <w:color w:val="auto"/>
          <w:szCs w:val="21"/>
        </w:rPr>
      </w:pPr>
      <w:r>
        <w:rPr>
          <w:rFonts w:hint="eastAsia"/>
          <w:color w:val="auto"/>
          <w:szCs w:val="21"/>
        </w:rPr>
        <w:t>1）因甲方或乙方违约累计分别达4次且未能协商一致的，守约方有权向违约方提出终止本合同；</w:t>
      </w:r>
    </w:p>
    <w:p>
      <w:pPr>
        <w:pStyle w:val="25"/>
        <w:spacing w:line="360" w:lineRule="auto"/>
        <w:ind w:firstLine="420"/>
        <w:rPr>
          <w:color w:val="auto"/>
          <w:szCs w:val="21"/>
        </w:rPr>
      </w:pPr>
      <w:r>
        <w:rPr>
          <w:rFonts w:hint="eastAsia"/>
          <w:color w:val="auto"/>
          <w:szCs w:val="21"/>
        </w:rPr>
        <w:t>2）不可抗力情况发生，经双方协商达成一致后，可终止本合同。</w:t>
      </w:r>
    </w:p>
    <w:p>
      <w:pPr>
        <w:pStyle w:val="25"/>
        <w:spacing w:line="360" w:lineRule="auto"/>
        <w:rPr>
          <w:color w:val="auto"/>
          <w:szCs w:val="21"/>
        </w:rPr>
      </w:pPr>
      <w:r>
        <w:rPr>
          <w:rFonts w:hint="eastAsia"/>
          <w:color w:val="auto"/>
          <w:szCs w:val="21"/>
        </w:rPr>
        <w:t xml:space="preserve">    3、如有下列情况之一出现，甲方有权单方面终止合同，并向乙方追究经济赔偿：</w:t>
      </w:r>
    </w:p>
    <w:p>
      <w:pPr>
        <w:pStyle w:val="25"/>
        <w:spacing w:line="360" w:lineRule="auto"/>
        <w:rPr>
          <w:color w:val="auto"/>
          <w:szCs w:val="21"/>
        </w:rPr>
      </w:pPr>
      <w:r>
        <w:rPr>
          <w:rFonts w:hint="eastAsia"/>
          <w:color w:val="auto"/>
          <w:szCs w:val="21"/>
        </w:rPr>
        <w:t xml:space="preserve">    1)经鉴定因乙方汽油质量问题，导致甲方的公务用车出现事故的；</w:t>
      </w:r>
    </w:p>
    <w:p>
      <w:pPr>
        <w:pStyle w:val="25"/>
        <w:spacing w:line="360" w:lineRule="auto"/>
        <w:rPr>
          <w:color w:val="auto"/>
          <w:szCs w:val="21"/>
        </w:rPr>
      </w:pPr>
      <w:r>
        <w:rPr>
          <w:rFonts w:hint="eastAsia"/>
          <w:color w:val="auto"/>
          <w:szCs w:val="21"/>
        </w:rPr>
        <w:t xml:space="preserve">    2)乙方违反合同约定，提高收费的；</w:t>
      </w:r>
    </w:p>
    <w:p>
      <w:pPr>
        <w:pStyle w:val="25"/>
        <w:spacing w:line="360" w:lineRule="auto"/>
        <w:ind w:firstLine="420"/>
        <w:rPr>
          <w:color w:val="auto"/>
          <w:szCs w:val="21"/>
        </w:rPr>
      </w:pPr>
      <w:r>
        <w:rPr>
          <w:rFonts w:hint="eastAsia"/>
          <w:color w:val="auto"/>
          <w:szCs w:val="21"/>
        </w:rPr>
        <w:t>3)乙方采用给予甲方回佣等行为的。</w:t>
      </w:r>
    </w:p>
    <w:p>
      <w:pPr>
        <w:pStyle w:val="25"/>
        <w:spacing w:line="360" w:lineRule="auto"/>
        <w:rPr>
          <w:color w:val="auto"/>
          <w:szCs w:val="21"/>
        </w:rPr>
      </w:pPr>
    </w:p>
    <w:p>
      <w:pPr>
        <w:pStyle w:val="25"/>
        <w:spacing w:line="360" w:lineRule="auto"/>
        <w:rPr>
          <w:b/>
          <w:bCs/>
          <w:color w:val="auto"/>
          <w:szCs w:val="21"/>
        </w:rPr>
      </w:pPr>
      <w:r>
        <w:rPr>
          <w:rFonts w:hint="eastAsia"/>
          <w:color w:val="auto"/>
          <w:szCs w:val="21"/>
        </w:rPr>
        <w:t xml:space="preserve">   </w:t>
      </w:r>
      <w:r>
        <w:rPr>
          <w:rFonts w:hint="eastAsia"/>
          <w:b/>
          <w:bCs/>
          <w:color w:val="auto"/>
          <w:szCs w:val="21"/>
        </w:rPr>
        <w:t xml:space="preserve"> 九、争议的解决</w:t>
      </w:r>
    </w:p>
    <w:p>
      <w:pPr>
        <w:spacing w:line="360" w:lineRule="auto"/>
        <w:ind w:firstLine="420"/>
        <w:rPr>
          <w:color w:val="auto"/>
          <w:szCs w:val="21"/>
        </w:rPr>
      </w:pPr>
      <w:r>
        <w:rPr>
          <w:color w:val="auto"/>
          <w:szCs w:val="21"/>
        </w:rPr>
        <w:t>1</w:t>
      </w:r>
      <w:r>
        <w:rPr>
          <w:rFonts w:hint="eastAsia"/>
          <w:color w:val="auto"/>
          <w:szCs w:val="21"/>
        </w:rPr>
        <w:t>、在履行本合同的过程中，若发生争议，甲乙双方应本着友好互让的原则协商解决，协商不成时，任何一方可向中山市第一人民法院提起诉讼。</w:t>
      </w:r>
    </w:p>
    <w:p>
      <w:pPr>
        <w:pStyle w:val="25"/>
        <w:spacing w:line="360" w:lineRule="auto"/>
        <w:ind w:left="105" w:firstLine="315"/>
        <w:rPr>
          <w:color w:val="auto"/>
          <w:szCs w:val="21"/>
        </w:rPr>
      </w:pPr>
      <w:r>
        <w:rPr>
          <w:rFonts w:hint="eastAsia"/>
          <w:color w:val="auto"/>
          <w:szCs w:val="21"/>
        </w:rPr>
        <w:t>2、在诉讼期间，除与争议有关的责任外，合同双方须完全履行本合同的其他责任。</w:t>
      </w:r>
    </w:p>
    <w:p>
      <w:pPr>
        <w:pStyle w:val="25"/>
        <w:spacing w:line="360" w:lineRule="auto"/>
        <w:ind w:left="105" w:firstLine="315"/>
        <w:rPr>
          <w:color w:val="auto"/>
          <w:szCs w:val="21"/>
        </w:rPr>
      </w:pPr>
    </w:p>
    <w:p>
      <w:pPr>
        <w:pStyle w:val="25"/>
        <w:spacing w:line="360" w:lineRule="auto"/>
        <w:ind w:firstLine="555"/>
        <w:rPr>
          <w:b/>
          <w:bCs/>
          <w:color w:val="auto"/>
          <w:szCs w:val="21"/>
        </w:rPr>
      </w:pPr>
      <w:r>
        <w:rPr>
          <w:rFonts w:hint="eastAsia"/>
          <w:b/>
          <w:bCs/>
          <w:color w:val="auto"/>
          <w:szCs w:val="21"/>
        </w:rPr>
        <w:t>十、附则</w:t>
      </w:r>
    </w:p>
    <w:p>
      <w:pPr>
        <w:spacing w:line="360" w:lineRule="auto"/>
        <w:ind w:firstLine="420"/>
        <w:rPr>
          <w:color w:val="auto"/>
          <w:szCs w:val="21"/>
        </w:rPr>
      </w:pPr>
      <w:r>
        <w:rPr>
          <w:color w:val="auto"/>
          <w:szCs w:val="21"/>
        </w:rPr>
        <w:t>1</w:t>
      </w:r>
      <w:r>
        <w:rPr>
          <w:rFonts w:hint="eastAsia"/>
          <w:color w:val="auto"/>
          <w:szCs w:val="21"/>
        </w:rPr>
        <w:t>、本合同若不经双方另行商定，所有文件、电传、通知及双方其他书面文件信函，均应以中文为准。</w:t>
      </w:r>
    </w:p>
    <w:p>
      <w:pPr>
        <w:spacing w:line="360" w:lineRule="auto"/>
        <w:ind w:left="1050" w:leftChars="200" w:hanging="630" w:hangingChars="300"/>
        <w:rPr>
          <w:color w:val="auto"/>
          <w:szCs w:val="21"/>
        </w:rPr>
      </w:pPr>
      <w:r>
        <w:rPr>
          <w:color w:val="auto"/>
          <w:szCs w:val="21"/>
        </w:rPr>
        <w:t>2</w:t>
      </w:r>
      <w:r>
        <w:rPr>
          <w:rFonts w:hint="eastAsia"/>
          <w:color w:val="auto"/>
          <w:szCs w:val="21"/>
        </w:rPr>
        <w:t>、除甲方事先书面同意外，乙方不得部分转让或全部转让其应履行的合同义务。</w:t>
      </w:r>
    </w:p>
    <w:p>
      <w:pPr>
        <w:pStyle w:val="25"/>
        <w:spacing w:line="360" w:lineRule="auto"/>
        <w:ind w:firstLine="425"/>
        <w:rPr>
          <w:rFonts w:hAnsi="宋体"/>
          <w:color w:val="auto"/>
          <w:szCs w:val="21"/>
        </w:rPr>
      </w:pPr>
      <w:r>
        <w:rPr>
          <w:rFonts w:hint="eastAsia" w:hAnsi="宋体"/>
          <w:color w:val="auto"/>
          <w:szCs w:val="21"/>
        </w:rPr>
        <w:t>3、在本合同的执行期间，如遇到政府公务车改革或其它不可抗拒的政策性原因，甲乙双方商议协调后可提前终止合同，甲方对此不作任何赔偿。</w:t>
      </w:r>
    </w:p>
    <w:p>
      <w:pPr>
        <w:spacing w:line="360" w:lineRule="auto"/>
        <w:ind w:firstLine="483"/>
        <w:rPr>
          <w:color w:val="auto"/>
          <w:szCs w:val="21"/>
        </w:rPr>
      </w:pPr>
      <w:r>
        <w:rPr>
          <w:color w:val="auto"/>
          <w:szCs w:val="21"/>
        </w:rPr>
        <w:t>4</w:t>
      </w:r>
      <w:r>
        <w:rPr>
          <w:rFonts w:hint="eastAsia"/>
          <w:color w:val="auto"/>
          <w:szCs w:val="21"/>
        </w:rPr>
        <w:t>、任何一方没有行使其权利或没有就违约方的违约行为采取任何行动，不应被视为是对其权利的放弃或对追究另一方违约责任权利的放弃。</w:t>
      </w:r>
    </w:p>
    <w:p>
      <w:pPr>
        <w:spacing w:line="360" w:lineRule="auto"/>
        <w:ind w:firstLine="525"/>
        <w:rPr>
          <w:color w:val="auto"/>
          <w:szCs w:val="21"/>
        </w:rPr>
      </w:pPr>
      <w:r>
        <w:rPr>
          <w:color w:val="auto"/>
          <w:szCs w:val="21"/>
        </w:rPr>
        <w:t>5</w:t>
      </w:r>
      <w:r>
        <w:rPr>
          <w:rFonts w:hint="eastAsia"/>
          <w:color w:val="auto"/>
          <w:szCs w:val="21"/>
        </w:rPr>
        <w:t>、本合同未尽事项，由双方订立补充协议，补充协议将作为本合同不可分割的一部分，与本合同具有同等法律效力。</w:t>
      </w:r>
    </w:p>
    <w:p>
      <w:pPr>
        <w:pStyle w:val="25"/>
        <w:spacing w:line="360" w:lineRule="auto"/>
        <w:ind w:firstLine="525"/>
        <w:rPr>
          <w:rFonts w:hint="eastAsia"/>
          <w:color w:val="auto"/>
          <w:szCs w:val="21"/>
        </w:rPr>
      </w:pPr>
      <w:r>
        <w:rPr>
          <w:rFonts w:hint="eastAsia"/>
          <w:color w:val="auto"/>
          <w:szCs w:val="21"/>
        </w:rPr>
        <w:t>6、本合同一式四份 ，甲方两份、乙方一份、</w:t>
      </w:r>
      <w:r>
        <w:rPr>
          <w:rFonts w:hint="eastAsia"/>
          <w:color w:val="auto"/>
          <w:szCs w:val="21"/>
          <w:lang w:eastAsia="zh-CN"/>
        </w:rPr>
        <w:t>广东华联建设投资管理股分有限公司</w:t>
      </w:r>
      <w:r>
        <w:rPr>
          <w:rFonts w:hint="eastAsia"/>
          <w:color w:val="auto"/>
          <w:szCs w:val="21"/>
        </w:rPr>
        <w:t>中山分公司一份。</w:t>
      </w:r>
    </w:p>
    <w:p>
      <w:pPr>
        <w:pStyle w:val="25"/>
        <w:spacing w:line="360" w:lineRule="auto"/>
        <w:ind w:firstLine="525"/>
        <w:rPr>
          <w:rFonts w:hint="eastAsia" w:eastAsia="宋体"/>
          <w:color w:val="auto"/>
          <w:szCs w:val="21"/>
          <w:lang w:val="en-US" w:eastAsia="zh-CN"/>
        </w:rPr>
      </w:pPr>
      <w:r>
        <w:rPr>
          <w:rFonts w:hint="eastAsia"/>
          <w:color w:val="auto"/>
          <w:szCs w:val="21"/>
          <w:lang w:val="en-US" w:eastAsia="zh-CN"/>
        </w:rPr>
        <w:t>7、附受托方的营业执照等相关证书。</w:t>
      </w: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甲方（盖章）：                                       乙方（盖章）：</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甲方法定代表（签字）：                               乙方法定代表（签字）：</w:t>
      </w: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地    址：                                          地    址：</w:t>
      </w:r>
    </w:p>
    <w:p>
      <w:pPr>
        <w:spacing w:line="360" w:lineRule="auto"/>
        <w:rPr>
          <w:rFonts w:ascii="宋体" w:hAnsi="宋体"/>
          <w:color w:val="auto"/>
          <w:szCs w:val="21"/>
        </w:rPr>
      </w:pPr>
      <w:r>
        <w:rPr>
          <w:rFonts w:hint="eastAsia" w:ascii="宋体" w:hAnsi="宋体"/>
          <w:color w:val="auto"/>
          <w:szCs w:val="21"/>
        </w:rPr>
        <w:t>邮政编码：                                          邮政编码：</w:t>
      </w:r>
    </w:p>
    <w:p>
      <w:pPr>
        <w:spacing w:line="360" w:lineRule="auto"/>
        <w:rPr>
          <w:rFonts w:ascii="宋体" w:hAnsi="宋体"/>
          <w:color w:val="auto"/>
          <w:szCs w:val="21"/>
        </w:rPr>
      </w:pPr>
      <w:r>
        <w:rPr>
          <w:rFonts w:hint="eastAsia" w:ascii="宋体" w:hAnsi="宋体"/>
          <w:color w:val="auto"/>
          <w:szCs w:val="21"/>
        </w:rPr>
        <w:t>电    话：                                          电    话：</w:t>
      </w:r>
    </w:p>
    <w:p>
      <w:pPr>
        <w:spacing w:line="360" w:lineRule="auto"/>
        <w:rPr>
          <w:rFonts w:ascii="宋体" w:hAnsi="宋体"/>
          <w:color w:val="auto"/>
          <w:szCs w:val="21"/>
        </w:rPr>
      </w:pPr>
      <w:r>
        <w:rPr>
          <w:rFonts w:hint="eastAsia" w:ascii="宋体" w:hAnsi="宋体"/>
          <w:color w:val="auto"/>
          <w:szCs w:val="21"/>
        </w:rPr>
        <w:t>传    真：                                          传    真：</w:t>
      </w:r>
    </w:p>
    <w:p>
      <w:pPr>
        <w:spacing w:line="360" w:lineRule="auto"/>
        <w:rPr>
          <w:rFonts w:ascii="宋体" w:hAnsi="宋体"/>
          <w:color w:val="auto"/>
          <w:szCs w:val="21"/>
        </w:rPr>
      </w:pPr>
      <w:r>
        <w:rPr>
          <w:rFonts w:hint="eastAsia" w:ascii="宋体" w:hAnsi="宋体"/>
          <w:color w:val="auto"/>
          <w:szCs w:val="21"/>
        </w:rPr>
        <w:t xml:space="preserve">开户银行：                                          开户银行：                                     </w:t>
      </w:r>
    </w:p>
    <w:p>
      <w:pPr>
        <w:spacing w:line="360" w:lineRule="auto"/>
        <w:rPr>
          <w:rFonts w:ascii="宋体" w:hAnsi="宋体"/>
          <w:color w:val="auto"/>
          <w:szCs w:val="21"/>
        </w:rPr>
      </w:pPr>
      <w:r>
        <w:rPr>
          <w:rFonts w:hint="eastAsia" w:ascii="宋体" w:hAnsi="宋体"/>
          <w:color w:val="auto"/>
          <w:szCs w:val="21"/>
        </w:rPr>
        <w:t>开户账号：                                          开户账号：</w:t>
      </w:r>
    </w:p>
    <w:p>
      <w:pPr>
        <w:numPr>
          <w:ilvl w:val="0"/>
          <w:numId w:val="0"/>
        </w:numPr>
        <w:spacing w:line="360" w:lineRule="auto"/>
        <w:rPr>
          <w:rFonts w:hint="eastAsia" w:ascii="宋体" w:hAnsi="宋体"/>
          <w:color w:val="000000"/>
          <w:szCs w:val="21"/>
        </w:rPr>
      </w:pPr>
    </w:p>
    <w:p>
      <w:pPr>
        <w:spacing w:before="100" w:beforeAutospacing="1" w:after="100" w:afterAutospacing="1" w:line="360" w:lineRule="auto"/>
        <w:rPr>
          <w:rFonts w:hint="eastAsia" w:ascii="宋体" w:hAnsi="宋体"/>
          <w:b/>
          <w:spacing w:val="40"/>
          <w:szCs w:val="21"/>
        </w:rPr>
      </w:pPr>
      <w:r>
        <w:rPr>
          <w:rFonts w:hint="eastAsia" w:ascii="宋体" w:hAnsi="宋体"/>
          <w:b/>
          <w:spacing w:val="40"/>
          <w:szCs w:val="21"/>
        </w:rPr>
        <w:br w:type="page"/>
      </w:r>
    </w:p>
    <w:p>
      <w:pPr>
        <w:spacing w:before="100" w:beforeAutospacing="1" w:after="100" w:afterAutospacing="1" w:line="360" w:lineRule="auto"/>
        <w:rPr>
          <w:rFonts w:hint="eastAsia" w:ascii="宋体" w:hAnsi="宋体"/>
          <w:b/>
          <w:spacing w:val="40"/>
          <w:szCs w:val="21"/>
        </w:rPr>
      </w:pPr>
      <w:r>
        <w:rPr>
          <w:rFonts w:hint="eastAsia" w:ascii="宋体" w:hAnsi="宋体"/>
          <w:b/>
          <w:spacing w:val="40"/>
          <w:szCs w:val="21"/>
        </w:rPr>
        <w:t>合同附件（合同编号：      ）</w:t>
      </w:r>
    </w:p>
    <w:p>
      <w:pPr>
        <w:tabs>
          <w:tab w:val="left" w:pos="1680"/>
        </w:tabs>
        <w:spacing w:line="360" w:lineRule="auto"/>
        <w:rPr>
          <w:rFonts w:hint="eastAsia" w:ascii="宋体" w:hAnsi="宋体"/>
          <w:szCs w:val="21"/>
        </w:rPr>
      </w:pPr>
      <w:r>
        <w:rPr>
          <w:rFonts w:hint="eastAsia" w:ascii="宋体" w:hAnsi="宋体"/>
          <w:szCs w:val="21"/>
        </w:rPr>
        <w:t>1．中标通知书…………………………………………………………………</w:t>
      </w:r>
    </w:p>
    <w:p>
      <w:pPr>
        <w:tabs>
          <w:tab w:val="left" w:pos="1680"/>
        </w:tabs>
        <w:spacing w:line="360" w:lineRule="auto"/>
        <w:rPr>
          <w:rFonts w:hint="eastAsia" w:ascii="宋体" w:hAnsi="宋体"/>
          <w:szCs w:val="21"/>
        </w:rPr>
      </w:pPr>
      <w:r>
        <w:rPr>
          <w:rFonts w:hint="eastAsia" w:ascii="宋体" w:hAnsi="宋体"/>
          <w:szCs w:val="21"/>
        </w:rPr>
        <w:t>2．招标文件及其澄清、修改及补充文件……………………………………</w:t>
      </w:r>
    </w:p>
    <w:p>
      <w:pPr>
        <w:tabs>
          <w:tab w:val="left" w:pos="1680"/>
        </w:tabs>
        <w:spacing w:line="360" w:lineRule="auto"/>
        <w:rPr>
          <w:rFonts w:hint="eastAsia" w:ascii="宋体" w:hAnsi="宋体"/>
          <w:szCs w:val="21"/>
        </w:rPr>
      </w:pPr>
      <w:r>
        <w:rPr>
          <w:rFonts w:hint="eastAsia" w:ascii="宋体" w:hAnsi="宋体"/>
          <w:szCs w:val="21"/>
        </w:rPr>
        <w:t>3．中标人投标文件及其澄清、修改及补充文件……………………………</w:t>
      </w:r>
    </w:p>
    <w:p>
      <w:pPr>
        <w:spacing w:line="360" w:lineRule="auto"/>
        <w:ind w:left="945" w:hanging="945"/>
        <w:rPr>
          <w:rFonts w:hint="eastAsia" w:ascii="宋体" w:hAnsi="宋体"/>
          <w:szCs w:val="21"/>
        </w:rPr>
      </w:pPr>
      <w:r>
        <w:rPr>
          <w:rFonts w:hint="eastAsia" w:ascii="宋体" w:hAnsi="宋体"/>
          <w:szCs w:val="21"/>
        </w:rPr>
        <w:t>备注：</w:t>
      </w:r>
    </w:p>
    <w:p>
      <w:pPr>
        <w:spacing w:line="360" w:lineRule="auto"/>
        <w:rPr>
          <w:rFonts w:hint="eastAsia" w:ascii="宋体" w:hAnsi="宋体"/>
          <w:szCs w:val="21"/>
        </w:rPr>
      </w:pPr>
      <w:r>
        <w:rPr>
          <w:rFonts w:hint="eastAsia" w:ascii="宋体" w:hAnsi="宋体"/>
          <w:szCs w:val="21"/>
        </w:rPr>
        <w:t>1．本合同附件均在签订合同时编制，依据是招标文件及中标人的投标文件的相应内容；</w:t>
      </w:r>
    </w:p>
    <w:p>
      <w:pPr>
        <w:spacing w:line="360" w:lineRule="auto"/>
        <w:rPr>
          <w:rFonts w:ascii="宋体" w:hAnsi="宋体"/>
          <w:color w:val="auto"/>
          <w:szCs w:val="21"/>
        </w:rPr>
      </w:pPr>
      <w:r>
        <w:rPr>
          <w:rFonts w:hint="eastAsia" w:ascii="宋体" w:hAnsi="宋体"/>
          <w:szCs w:val="21"/>
        </w:rPr>
        <w:t>2．合同附件的具体条目及内容由双方在签订合同时商定。</w:t>
      </w:r>
    </w:p>
    <w:p>
      <w:pPr>
        <w:spacing w:line="360" w:lineRule="auto"/>
        <w:rPr>
          <w:rFonts w:ascii="宋体" w:hAnsi="宋体"/>
          <w:color w:val="auto"/>
          <w:szCs w:val="21"/>
        </w:rPr>
      </w:pPr>
    </w:p>
    <w:p>
      <w:pPr>
        <w:pageBreakBefore/>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p>
    <w:p>
      <w:pPr>
        <w:spacing w:line="480" w:lineRule="exact"/>
        <w:jc w:val="center"/>
        <w:outlineLvl w:val="0"/>
        <w:rPr>
          <w:rFonts w:eastAsia="黑体"/>
          <w:b/>
          <w:color w:val="auto"/>
          <w:sz w:val="44"/>
        </w:rPr>
      </w:pPr>
      <w:r>
        <w:rPr>
          <w:rFonts w:hint="eastAsia" w:eastAsia="黑体"/>
          <w:b/>
          <w:color w:val="auto"/>
          <w:sz w:val="44"/>
        </w:rPr>
        <w:t>第六部分</w:t>
      </w:r>
    </w:p>
    <w:p>
      <w:pPr>
        <w:spacing w:line="480" w:lineRule="exact"/>
        <w:jc w:val="center"/>
        <w:rPr>
          <w:rFonts w:eastAsia="黑体"/>
          <w:b/>
          <w:color w:val="auto"/>
          <w:sz w:val="44"/>
        </w:rPr>
      </w:pPr>
    </w:p>
    <w:p>
      <w:pPr>
        <w:spacing w:line="480" w:lineRule="exact"/>
        <w:jc w:val="center"/>
        <w:outlineLvl w:val="0"/>
        <w:rPr>
          <w:rFonts w:eastAsia="黑体"/>
          <w:b/>
          <w:color w:val="auto"/>
          <w:sz w:val="44"/>
        </w:rPr>
      </w:pPr>
      <w:r>
        <w:rPr>
          <w:rFonts w:hint="eastAsia" w:eastAsia="黑体"/>
          <w:b/>
          <w:color w:val="auto"/>
          <w:sz w:val="44"/>
        </w:rPr>
        <w:t>投 标 文 件 格 式</w:t>
      </w:r>
    </w:p>
    <w:p>
      <w:pPr>
        <w:spacing w:line="480" w:lineRule="exact"/>
        <w:jc w:val="center"/>
        <w:rPr>
          <w:b/>
          <w:color w:val="auto"/>
          <w:sz w:val="44"/>
        </w:rPr>
      </w:pPr>
    </w:p>
    <w:p>
      <w:pPr>
        <w:spacing w:line="480" w:lineRule="exact"/>
        <w:jc w:val="center"/>
        <w:outlineLvl w:val="0"/>
        <w:rPr>
          <w:b/>
          <w:color w:val="auto"/>
          <w:sz w:val="44"/>
          <w:szCs w:val="44"/>
        </w:rPr>
      </w:pPr>
      <w:r>
        <w:rPr>
          <w:b/>
          <w:color w:val="auto"/>
          <w:sz w:val="30"/>
        </w:rPr>
        <w:br w:type="page"/>
      </w:r>
    </w:p>
    <w:p>
      <w:pPr>
        <w:jc w:val="center"/>
        <w:rPr>
          <w:b/>
          <w:color w:val="auto"/>
          <w:sz w:val="32"/>
          <w:szCs w:val="32"/>
        </w:rPr>
      </w:pPr>
      <w:r>
        <w:rPr>
          <w:rFonts w:hint="eastAsia"/>
          <w:b/>
          <w:color w:val="auto"/>
          <w:sz w:val="32"/>
          <w:szCs w:val="32"/>
        </w:rPr>
        <w:t>服务类项目投标文件</w:t>
      </w:r>
    </w:p>
    <w:p>
      <w:pPr>
        <w:rPr>
          <w:color w:val="auto"/>
        </w:rPr>
      </w:pPr>
    </w:p>
    <w:p>
      <w:pPr>
        <w:adjustRightInd w:val="0"/>
        <w:snapToGrid w:val="0"/>
        <w:spacing w:line="360" w:lineRule="auto"/>
        <w:ind w:left="178" w:leftChars="85" w:firstLine="472" w:firstLineChars="225"/>
        <w:rPr>
          <w:color w:val="auto"/>
          <w:szCs w:val="21"/>
        </w:rPr>
      </w:pPr>
      <w:r>
        <w:rPr>
          <w:rFonts w:hint="eastAsia"/>
          <w:color w:val="auto"/>
          <w:szCs w:val="21"/>
        </w:rPr>
        <w:t>一、  自查表</w:t>
      </w:r>
    </w:p>
    <w:p>
      <w:pPr>
        <w:adjustRightInd w:val="0"/>
        <w:snapToGrid w:val="0"/>
        <w:spacing w:line="360" w:lineRule="auto"/>
        <w:ind w:left="178" w:leftChars="85" w:firstLine="472" w:firstLineChars="225"/>
        <w:rPr>
          <w:color w:val="auto"/>
          <w:szCs w:val="21"/>
        </w:rPr>
      </w:pPr>
      <w:r>
        <w:rPr>
          <w:color w:val="auto"/>
        </w:rPr>
        <w:fldChar w:fldCharType="begin"/>
      </w:r>
      <w:r>
        <w:rPr>
          <w:color w:val="auto"/>
        </w:rPr>
        <w:instrText xml:space="preserve"> HYPERLINK \l "_Toc175110017" </w:instrText>
      </w:r>
      <w:r>
        <w:rPr>
          <w:color w:val="auto"/>
        </w:rPr>
        <w:fldChar w:fldCharType="separate"/>
      </w:r>
      <w:r>
        <w:rPr>
          <w:rFonts w:hint="eastAsia"/>
          <w:color w:val="auto"/>
          <w:szCs w:val="21"/>
        </w:rPr>
        <w:t xml:space="preserve">二、  </w:t>
      </w:r>
      <w:r>
        <w:rPr>
          <w:rFonts w:hint="eastAsia"/>
          <w:color w:val="auto"/>
          <w:szCs w:val="21"/>
        </w:rPr>
        <w:fldChar w:fldCharType="end"/>
      </w:r>
      <w:r>
        <w:rPr>
          <w:rFonts w:hint="eastAsia"/>
          <w:color w:val="auto"/>
          <w:szCs w:val="21"/>
        </w:rPr>
        <w:t>价格部分</w:t>
      </w:r>
    </w:p>
    <w:p>
      <w:pPr>
        <w:adjustRightInd w:val="0"/>
        <w:snapToGrid w:val="0"/>
        <w:spacing w:line="360" w:lineRule="auto"/>
        <w:ind w:left="178" w:leftChars="85" w:firstLine="472" w:firstLineChars="225"/>
        <w:rPr>
          <w:color w:val="auto"/>
          <w:szCs w:val="21"/>
        </w:rPr>
      </w:pPr>
      <w:r>
        <w:rPr>
          <w:rFonts w:hint="eastAsia"/>
          <w:color w:val="auto"/>
          <w:szCs w:val="21"/>
        </w:rPr>
        <w:t>三、  资格性文件</w:t>
      </w:r>
    </w:p>
    <w:p>
      <w:pPr>
        <w:adjustRightInd w:val="0"/>
        <w:snapToGrid w:val="0"/>
        <w:spacing w:line="360" w:lineRule="auto"/>
        <w:ind w:left="178" w:leftChars="85" w:firstLine="472" w:firstLineChars="225"/>
        <w:rPr>
          <w:color w:val="auto"/>
          <w:szCs w:val="21"/>
        </w:rPr>
      </w:pPr>
      <w:r>
        <w:rPr>
          <w:rFonts w:hint="eastAsia"/>
          <w:color w:val="auto"/>
          <w:szCs w:val="21"/>
        </w:rPr>
        <w:t>四、  商务部分</w:t>
      </w:r>
    </w:p>
    <w:p>
      <w:pPr>
        <w:adjustRightInd w:val="0"/>
        <w:snapToGrid w:val="0"/>
        <w:spacing w:line="360" w:lineRule="auto"/>
        <w:ind w:left="178" w:leftChars="85" w:firstLine="472" w:firstLineChars="225"/>
        <w:rPr>
          <w:color w:val="auto"/>
          <w:szCs w:val="21"/>
        </w:rPr>
      </w:pPr>
      <w:r>
        <w:rPr>
          <w:rFonts w:hint="eastAsia"/>
          <w:color w:val="auto"/>
          <w:szCs w:val="21"/>
        </w:rPr>
        <w:t>五、  技术部分</w:t>
      </w:r>
    </w:p>
    <w:p>
      <w:pPr>
        <w:adjustRightInd w:val="0"/>
        <w:snapToGrid w:val="0"/>
        <w:spacing w:line="360" w:lineRule="auto"/>
        <w:ind w:left="178" w:leftChars="85" w:firstLine="472" w:firstLineChars="225"/>
        <w:rPr>
          <w:color w:val="auto"/>
          <w:szCs w:val="21"/>
        </w:rPr>
      </w:pPr>
      <w:r>
        <w:rPr>
          <w:rFonts w:hint="eastAsia"/>
          <w:color w:val="auto"/>
          <w:szCs w:val="21"/>
        </w:rPr>
        <w:t>六、  其他部分</w:t>
      </w:r>
    </w:p>
    <w:p>
      <w:pPr>
        <w:adjustRightInd w:val="0"/>
        <w:snapToGrid w:val="0"/>
        <w:spacing w:line="360" w:lineRule="auto"/>
        <w:ind w:left="178" w:leftChars="85" w:firstLine="472" w:firstLineChars="225"/>
        <w:rPr>
          <w:color w:val="auto"/>
          <w:szCs w:val="21"/>
        </w:rPr>
      </w:pPr>
      <w:r>
        <w:rPr>
          <w:rFonts w:hint="eastAsia"/>
          <w:color w:val="auto"/>
          <w:szCs w:val="21"/>
        </w:rPr>
        <w:t>七、  唱标信封</w:t>
      </w:r>
    </w:p>
    <w:p>
      <w:pPr>
        <w:adjustRightInd w:val="0"/>
        <w:snapToGrid w:val="0"/>
        <w:spacing w:line="360" w:lineRule="auto"/>
        <w:ind w:left="178" w:leftChars="85" w:firstLine="472" w:firstLineChars="225"/>
        <w:rPr>
          <w:color w:val="auto"/>
          <w:szCs w:val="21"/>
        </w:rPr>
      </w:pPr>
    </w:p>
    <w:p>
      <w:pPr>
        <w:adjustRightInd w:val="0"/>
        <w:snapToGrid w:val="0"/>
        <w:spacing w:line="360" w:lineRule="auto"/>
        <w:ind w:left="178" w:leftChars="85" w:firstLine="472" w:firstLineChars="225"/>
        <w:rPr>
          <w:rFonts w:ascii="宋体" w:hAnsi="宋体"/>
          <w:color w:val="auto"/>
          <w:szCs w:val="21"/>
        </w:rPr>
      </w:pPr>
      <w:r>
        <w:rPr>
          <w:rFonts w:hint="eastAsia"/>
          <w:color w:val="auto"/>
          <w:szCs w:val="21"/>
        </w:rPr>
        <w:t>注：</w:t>
      </w:r>
      <w:r>
        <w:rPr>
          <w:rFonts w:hint="eastAsia" w:ascii="宋体" w:hAnsi="宋体"/>
          <w:color w:val="auto"/>
          <w:szCs w:val="21"/>
        </w:rPr>
        <w:t>请投标人按照以下文件的要求格式、内容，顺序制作投标文件，并请编制目录及页码，否则可能将影响对投标文件的评价。</w:t>
      </w:r>
    </w:p>
    <w:p>
      <w:pPr>
        <w:adjustRightInd w:val="0"/>
        <w:snapToGrid w:val="0"/>
        <w:spacing w:line="360" w:lineRule="auto"/>
        <w:ind w:left="178" w:leftChars="85" w:firstLine="892" w:firstLineChars="425"/>
        <w:rPr>
          <w:color w:val="auto"/>
          <w:szCs w:val="21"/>
        </w:rPr>
      </w:pPr>
    </w:p>
    <w:p>
      <w:pPr>
        <w:rPr>
          <w:color w:val="auto"/>
        </w:rPr>
      </w:pPr>
    </w:p>
    <w:p>
      <w:pPr>
        <w:pStyle w:val="25"/>
        <w:tabs>
          <w:tab w:val="left" w:pos="1260"/>
        </w:tabs>
        <w:jc w:val="center"/>
        <w:rPr>
          <w:rFonts w:ascii="Times New Roman" w:hAnsi="Times New Roman"/>
          <w:b/>
          <w:color w:val="auto"/>
          <w:spacing w:val="100"/>
          <w:w w:val="110"/>
          <w:kern w:val="0"/>
          <w:sz w:val="44"/>
          <w:szCs w:val="44"/>
          <w:u w:val="single"/>
        </w:rPr>
      </w:pPr>
      <w:r>
        <w:rPr>
          <w:rFonts w:ascii="Times New Roman" w:hAnsi="Times New Roman"/>
          <w:b/>
          <w:color w:val="auto"/>
          <w:spacing w:val="100"/>
          <w:w w:val="110"/>
          <w:kern w:val="0"/>
          <w:sz w:val="44"/>
          <w:szCs w:val="44"/>
          <w:u w:val="single"/>
        </w:rPr>
        <w:br w:type="page"/>
      </w:r>
    </w:p>
    <w:p>
      <w:pPr>
        <w:pStyle w:val="25"/>
        <w:tabs>
          <w:tab w:val="left" w:pos="1260"/>
        </w:tabs>
        <w:jc w:val="center"/>
        <w:rPr>
          <w:rFonts w:ascii="Times New Roman" w:hAnsi="Times New Roman"/>
          <w:b/>
          <w:color w:val="auto"/>
          <w:spacing w:val="100"/>
          <w:w w:val="110"/>
          <w:kern w:val="0"/>
          <w:sz w:val="44"/>
          <w:szCs w:val="44"/>
          <w:u w:val="single"/>
        </w:rPr>
      </w:pPr>
    </w:p>
    <w:p>
      <w:pPr>
        <w:pStyle w:val="25"/>
        <w:tabs>
          <w:tab w:val="left" w:pos="1260"/>
        </w:tabs>
        <w:jc w:val="center"/>
        <w:rPr>
          <w:rFonts w:ascii="Times New Roman" w:hAnsi="Times New Roman"/>
          <w:b/>
          <w:color w:val="auto"/>
          <w:spacing w:val="100"/>
          <w:w w:val="110"/>
          <w:kern w:val="0"/>
          <w:sz w:val="44"/>
          <w:szCs w:val="44"/>
        </w:rPr>
      </w:pPr>
      <w:r>
        <w:rPr>
          <w:rFonts w:hint="eastAsia" w:ascii="Times New Roman" w:hAnsi="Times New Roman"/>
          <w:b/>
          <w:color w:val="auto"/>
          <w:spacing w:val="100"/>
          <w:w w:val="110"/>
          <w:kern w:val="0"/>
          <w:sz w:val="44"/>
          <w:szCs w:val="44"/>
          <w:u w:val="single"/>
        </w:rPr>
        <w:t xml:space="preserve">       </w:t>
      </w:r>
      <w:r>
        <w:rPr>
          <w:rFonts w:hint="eastAsia" w:ascii="Times New Roman" w:hAnsi="Times New Roman"/>
          <w:b/>
          <w:color w:val="auto"/>
          <w:spacing w:val="100"/>
          <w:w w:val="110"/>
          <w:kern w:val="0"/>
          <w:sz w:val="44"/>
          <w:szCs w:val="44"/>
        </w:rPr>
        <w:t>政府采购</w:t>
      </w:r>
    </w:p>
    <w:p>
      <w:pPr>
        <w:pStyle w:val="25"/>
        <w:jc w:val="center"/>
        <w:rPr>
          <w:rFonts w:ascii="Times New Roman" w:hAnsi="Times New Roman"/>
          <w:b/>
          <w:color w:val="auto"/>
          <w:sz w:val="44"/>
          <w:szCs w:val="44"/>
        </w:rPr>
      </w:pPr>
    </w:p>
    <w:p>
      <w:pPr>
        <w:pStyle w:val="25"/>
        <w:jc w:val="center"/>
        <w:rPr>
          <w:rFonts w:ascii="Times New Roman" w:hAnsi="Times New Roman"/>
          <w:b/>
          <w:color w:val="auto"/>
          <w:sz w:val="44"/>
          <w:szCs w:val="44"/>
        </w:rPr>
      </w:pPr>
    </w:p>
    <w:p>
      <w:pPr>
        <w:pStyle w:val="25"/>
        <w:jc w:val="center"/>
        <w:rPr>
          <w:rFonts w:ascii="Times New Roman" w:hAnsi="Times New Roman"/>
          <w:b/>
          <w:color w:val="auto"/>
          <w:sz w:val="44"/>
          <w:szCs w:val="44"/>
        </w:rPr>
      </w:pPr>
    </w:p>
    <w:p>
      <w:pPr>
        <w:pStyle w:val="25"/>
        <w:tabs>
          <w:tab w:val="left" w:pos="1260"/>
        </w:tabs>
        <w:jc w:val="center"/>
        <w:rPr>
          <w:rFonts w:ascii="Times New Roman" w:hAnsi="Times New Roman"/>
          <w:b/>
          <w:color w:val="auto"/>
          <w:spacing w:val="100"/>
          <w:w w:val="110"/>
          <w:sz w:val="44"/>
          <w:szCs w:val="44"/>
        </w:rPr>
      </w:pPr>
      <w:r>
        <w:rPr>
          <w:rFonts w:hint="eastAsia" w:ascii="Times New Roman" w:hAnsi="Times New Roman"/>
          <w:b/>
          <w:color w:val="auto"/>
          <w:spacing w:val="100"/>
          <w:w w:val="110"/>
          <w:kern w:val="0"/>
          <w:sz w:val="44"/>
          <w:szCs w:val="44"/>
        </w:rPr>
        <w:t>投标文件</w:t>
      </w:r>
    </w:p>
    <w:p>
      <w:pPr>
        <w:pStyle w:val="25"/>
        <w:jc w:val="center"/>
        <w:rPr>
          <w:rFonts w:ascii="Times New Roman" w:hAnsi="Times New Roman"/>
          <w:b/>
          <w:color w:val="auto"/>
          <w:sz w:val="44"/>
          <w:szCs w:val="44"/>
        </w:rPr>
      </w:pPr>
      <w:r>
        <w:rPr>
          <w:rFonts w:hint="eastAsia" w:ascii="Times New Roman" w:hAnsi="Times New Roman"/>
          <w:b/>
          <w:color w:val="auto"/>
          <w:sz w:val="44"/>
          <w:szCs w:val="44"/>
        </w:rPr>
        <w:t>（正本/副本）</w:t>
      </w:r>
    </w:p>
    <w:p>
      <w:pPr>
        <w:pStyle w:val="25"/>
        <w:jc w:val="center"/>
        <w:rPr>
          <w:rFonts w:ascii="Times New Roman" w:hAnsi="Times New Roman"/>
          <w:b/>
          <w:color w:val="auto"/>
          <w:sz w:val="44"/>
          <w:szCs w:val="44"/>
        </w:rPr>
      </w:pPr>
    </w:p>
    <w:p>
      <w:pPr>
        <w:pStyle w:val="25"/>
        <w:jc w:val="center"/>
        <w:rPr>
          <w:rFonts w:ascii="Times New Roman" w:hAnsi="Times New Roman"/>
          <w:b/>
          <w:color w:val="auto"/>
          <w:sz w:val="44"/>
          <w:szCs w:val="44"/>
        </w:rPr>
      </w:pPr>
    </w:p>
    <w:p>
      <w:pPr>
        <w:pStyle w:val="25"/>
        <w:jc w:val="center"/>
        <w:rPr>
          <w:rFonts w:ascii="Times New Roman" w:hAnsi="Times New Roman"/>
          <w:b/>
          <w:color w:val="auto"/>
          <w:sz w:val="44"/>
          <w:szCs w:val="44"/>
        </w:rPr>
      </w:pPr>
    </w:p>
    <w:p>
      <w:pPr>
        <w:pStyle w:val="25"/>
        <w:jc w:val="center"/>
        <w:rPr>
          <w:rFonts w:ascii="Times New Roman" w:hAnsi="Times New Roman"/>
          <w:b/>
          <w:color w:val="auto"/>
          <w:sz w:val="44"/>
          <w:szCs w:val="44"/>
        </w:rPr>
      </w:pPr>
    </w:p>
    <w:p>
      <w:pPr>
        <w:pStyle w:val="25"/>
        <w:spacing w:line="360" w:lineRule="auto"/>
        <w:ind w:firstLine="1259" w:firstLineChars="448"/>
        <w:rPr>
          <w:rFonts w:ascii="Times New Roman" w:hAnsi="Times New Roman"/>
          <w:b/>
          <w:color w:val="auto"/>
          <w:sz w:val="28"/>
          <w:szCs w:val="28"/>
          <w:u w:val="single"/>
        </w:rPr>
      </w:pPr>
      <w:r>
        <w:rPr>
          <w:rFonts w:hint="eastAsia" w:ascii="Times New Roman" w:hAnsi="Times New Roman"/>
          <w:b/>
          <w:color w:val="auto"/>
          <w:sz w:val="28"/>
          <w:szCs w:val="28"/>
        </w:rPr>
        <w:t>采购项目编号：</w:t>
      </w:r>
      <w:r>
        <w:rPr>
          <w:rFonts w:hint="eastAsia" w:ascii="Times New Roman" w:hAnsi="Times New Roman"/>
          <w:b/>
          <w:color w:val="auto"/>
          <w:sz w:val="28"/>
          <w:szCs w:val="28"/>
          <w:u w:val="thick"/>
        </w:rPr>
        <w:t xml:space="preserve">                       </w:t>
      </w:r>
    </w:p>
    <w:p>
      <w:pPr>
        <w:pStyle w:val="25"/>
        <w:spacing w:line="360" w:lineRule="auto"/>
        <w:ind w:firstLine="1259" w:firstLineChars="448"/>
        <w:rPr>
          <w:rFonts w:ascii="Times New Roman" w:hAnsi="Times New Roman"/>
          <w:b/>
          <w:color w:val="auto"/>
          <w:sz w:val="28"/>
          <w:szCs w:val="28"/>
          <w:u w:val="single"/>
        </w:rPr>
      </w:pPr>
      <w:r>
        <w:rPr>
          <w:rFonts w:hint="eastAsia" w:ascii="Times New Roman" w:hAnsi="Times New Roman"/>
          <w:b/>
          <w:color w:val="auto"/>
          <w:sz w:val="28"/>
          <w:szCs w:val="28"/>
        </w:rPr>
        <w:t>采   购  项  目  名  称：</w:t>
      </w:r>
      <w:r>
        <w:rPr>
          <w:rFonts w:hint="eastAsia" w:ascii="Times New Roman" w:hAnsi="Times New Roman"/>
          <w:b/>
          <w:color w:val="auto"/>
          <w:sz w:val="28"/>
          <w:szCs w:val="28"/>
          <w:u w:val="single"/>
        </w:rPr>
        <w:t xml:space="preserve">                       </w:t>
      </w:r>
    </w:p>
    <w:p>
      <w:pPr>
        <w:pStyle w:val="25"/>
        <w:ind w:firstLine="1439" w:firstLineChars="512"/>
        <w:rPr>
          <w:rFonts w:ascii="Times New Roman" w:hAnsi="Times New Roman"/>
          <w:b/>
          <w:color w:val="auto"/>
          <w:sz w:val="28"/>
          <w:szCs w:val="28"/>
        </w:rPr>
      </w:pPr>
    </w:p>
    <w:p>
      <w:pPr>
        <w:pStyle w:val="25"/>
        <w:ind w:firstLine="2262" w:firstLineChars="512"/>
        <w:rPr>
          <w:rFonts w:ascii="Times New Roman" w:hAnsi="Times New Roman"/>
          <w:b/>
          <w:color w:val="auto"/>
          <w:sz w:val="44"/>
          <w:szCs w:val="44"/>
        </w:rPr>
      </w:pPr>
    </w:p>
    <w:p>
      <w:pPr>
        <w:pStyle w:val="25"/>
        <w:ind w:firstLine="2262" w:firstLineChars="512"/>
        <w:rPr>
          <w:rFonts w:ascii="Times New Roman" w:hAnsi="Times New Roman"/>
          <w:b/>
          <w:color w:val="auto"/>
          <w:sz w:val="44"/>
          <w:szCs w:val="44"/>
        </w:rPr>
      </w:pPr>
    </w:p>
    <w:p>
      <w:pPr>
        <w:pStyle w:val="25"/>
        <w:ind w:firstLine="2262" w:firstLineChars="512"/>
        <w:rPr>
          <w:rFonts w:ascii="Times New Roman" w:hAnsi="Times New Roman"/>
          <w:b/>
          <w:color w:val="auto"/>
          <w:sz w:val="44"/>
          <w:szCs w:val="44"/>
        </w:rPr>
      </w:pPr>
    </w:p>
    <w:p>
      <w:pPr>
        <w:pStyle w:val="25"/>
        <w:ind w:firstLine="2262" w:firstLineChars="512"/>
        <w:rPr>
          <w:rFonts w:ascii="Times New Roman" w:hAnsi="Times New Roman"/>
          <w:b/>
          <w:color w:val="auto"/>
          <w:sz w:val="44"/>
          <w:szCs w:val="44"/>
        </w:rPr>
      </w:pPr>
    </w:p>
    <w:p>
      <w:pPr>
        <w:pStyle w:val="25"/>
        <w:spacing w:line="360" w:lineRule="auto"/>
        <w:ind w:firstLine="1439" w:firstLineChars="512"/>
        <w:rPr>
          <w:rFonts w:ascii="Times New Roman" w:hAnsi="Times New Roman"/>
          <w:b/>
          <w:color w:val="auto"/>
          <w:sz w:val="28"/>
          <w:szCs w:val="28"/>
          <w:u w:val="single"/>
        </w:rPr>
      </w:pPr>
      <w:r>
        <w:rPr>
          <w:rFonts w:hint="eastAsia" w:ascii="Times New Roman" w:hAnsi="Times New Roman"/>
          <w:b/>
          <w:color w:val="auto"/>
          <w:sz w:val="28"/>
          <w:szCs w:val="28"/>
        </w:rPr>
        <w:t>投标人名称：</w:t>
      </w:r>
      <w:r>
        <w:rPr>
          <w:rFonts w:hint="eastAsia" w:ascii="Times New Roman" w:hAnsi="Times New Roman"/>
          <w:b/>
          <w:color w:val="auto"/>
          <w:sz w:val="28"/>
          <w:szCs w:val="28"/>
          <w:u w:val="single"/>
        </w:rPr>
        <w:t xml:space="preserve">                          </w:t>
      </w:r>
    </w:p>
    <w:p>
      <w:pPr>
        <w:autoSpaceDE w:val="0"/>
        <w:autoSpaceDN w:val="0"/>
        <w:spacing w:line="240" w:lineRule="atLeast"/>
        <w:ind w:firstLine="1439" w:firstLineChars="512"/>
        <w:rPr>
          <w:b/>
          <w:color w:val="auto"/>
          <w:sz w:val="28"/>
          <w:szCs w:val="28"/>
          <w:u w:val="single"/>
        </w:rPr>
      </w:pPr>
      <w:r>
        <w:rPr>
          <w:rFonts w:hint="eastAsia"/>
          <w:b/>
          <w:color w:val="auto"/>
          <w:sz w:val="28"/>
          <w:szCs w:val="28"/>
        </w:rPr>
        <w:t>日      期：</w:t>
      </w:r>
      <w:r>
        <w:rPr>
          <w:rFonts w:hint="eastAsia"/>
          <w:b/>
          <w:color w:val="auto"/>
          <w:sz w:val="28"/>
          <w:szCs w:val="28"/>
          <w:u w:val="single"/>
        </w:rPr>
        <w:t xml:space="preserve">          </w:t>
      </w:r>
      <w:r>
        <w:rPr>
          <w:rFonts w:hint="eastAsia"/>
          <w:b/>
          <w:color w:val="auto"/>
          <w:sz w:val="28"/>
          <w:szCs w:val="28"/>
        </w:rPr>
        <w:t>年</w:t>
      </w:r>
      <w:r>
        <w:rPr>
          <w:rFonts w:hint="eastAsia"/>
          <w:b/>
          <w:color w:val="auto"/>
          <w:sz w:val="28"/>
          <w:szCs w:val="28"/>
          <w:u w:val="single"/>
        </w:rPr>
        <w:t xml:space="preserve">     </w:t>
      </w:r>
      <w:r>
        <w:rPr>
          <w:rFonts w:hint="eastAsia"/>
          <w:b/>
          <w:color w:val="auto"/>
          <w:sz w:val="28"/>
          <w:szCs w:val="28"/>
        </w:rPr>
        <w:t>月</w:t>
      </w:r>
      <w:r>
        <w:rPr>
          <w:rFonts w:hint="eastAsia"/>
          <w:b/>
          <w:color w:val="auto"/>
          <w:sz w:val="28"/>
          <w:szCs w:val="28"/>
          <w:u w:val="single"/>
        </w:rPr>
        <w:t xml:space="preserve">     </w:t>
      </w:r>
      <w:r>
        <w:rPr>
          <w:rFonts w:hint="eastAsia"/>
          <w:b/>
          <w:color w:val="auto"/>
          <w:sz w:val="28"/>
          <w:szCs w:val="28"/>
        </w:rPr>
        <w:t>日</w:t>
      </w:r>
    </w:p>
    <w:p>
      <w:pPr>
        <w:rPr>
          <w:color w:val="auto"/>
          <w:sz w:val="44"/>
          <w:szCs w:val="44"/>
        </w:rPr>
      </w:pPr>
    </w:p>
    <w:p>
      <w:pPr>
        <w:rPr>
          <w:color w:val="auto"/>
        </w:rPr>
      </w:pPr>
      <w:r>
        <w:rPr>
          <w:color w:val="auto"/>
        </w:rPr>
        <w:br w:type="page"/>
      </w:r>
    </w:p>
    <w:p>
      <w:pPr>
        <w:pStyle w:val="3"/>
        <w:rPr>
          <w:rFonts w:ascii="Times New Roman" w:hAnsi="Times New Roman" w:eastAsia="宋体"/>
          <w:color w:val="auto"/>
        </w:rPr>
      </w:pPr>
      <w:bookmarkStart w:id="2" w:name="_Toc202251079"/>
      <w:bookmarkStart w:id="3" w:name="_Toc202252039"/>
      <w:bookmarkStart w:id="4" w:name="_Toc202817002"/>
      <w:bookmarkStart w:id="5" w:name="_Toc202251704"/>
      <w:bookmarkStart w:id="6" w:name="_Toc202819884"/>
      <w:bookmarkStart w:id="7" w:name="_Toc202820357"/>
      <w:bookmarkStart w:id="8" w:name="_Toc202254110"/>
      <w:r>
        <w:rPr>
          <w:rFonts w:hint="eastAsia" w:ascii="Times New Roman" w:hAnsi="Times New Roman" w:eastAsia="宋体"/>
          <w:color w:val="auto"/>
        </w:rPr>
        <w:t>一、自查表</w:t>
      </w:r>
      <w:bookmarkEnd w:id="2"/>
      <w:bookmarkEnd w:id="3"/>
      <w:bookmarkEnd w:id="4"/>
      <w:bookmarkEnd w:id="5"/>
      <w:bookmarkEnd w:id="6"/>
      <w:bookmarkEnd w:id="7"/>
      <w:bookmarkEnd w:id="8"/>
    </w:p>
    <w:tbl>
      <w:tblPr>
        <w:tblStyle w:val="58"/>
        <w:tblW w:w="9360" w:type="dxa"/>
        <w:tblInd w:w="0" w:type="dxa"/>
        <w:tblLayout w:type="fixed"/>
        <w:tblCellMar>
          <w:top w:w="0" w:type="dxa"/>
          <w:left w:w="0" w:type="dxa"/>
          <w:bottom w:w="0" w:type="dxa"/>
          <w:right w:w="0" w:type="dxa"/>
        </w:tblCellMar>
      </w:tblPr>
      <w:tblGrid>
        <w:gridCol w:w="900"/>
        <w:gridCol w:w="5040"/>
        <w:gridCol w:w="2160"/>
        <w:gridCol w:w="1260"/>
      </w:tblGrid>
      <w:tr>
        <w:tblPrEx>
          <w:tblLayout w:type="fixed"/>
          <w:tblCellMar>
            <w:top w:w="0" w:type="dxa"/>
            <w:left w:w="0" w:type="dxa"/>
            <w:bottom w:w="0" w:type="dxa"/>
            <w:right w:w="0" w:type="dxa"/>
          </w:tblCellMar>
        </w:tblPrEx>
        <w:trPr>
          <w:trHeight w:val="312" w:hRule="atLeast"/>
        </w:trPr>
        <w:tc>
          <w:tcPr>
            <w:tcW w:w="9360" w:type="dxa"/>
            <w:gridSpan w:val="4"/>
            <w:tcBorders>
              <w:top w:val="nil"/>
              <w:left w:val="nil"/>
              <w:bottom w:val="single" w:color="auto" w:sz="4" w:space="0"/>
              <w:right w:val="nil"/>
            </w:tcBorders>
            <w:vAlign w:val="center"/>
          </w:tcPr>
          <w:p>
            <w:pPr>
              <w:ind w:left="1" w:leftChars="-171" w:hanging="360" w:hangingChars="128"/>
              <w:jc w:val="center"/>
              <w:rPr>
                <w:b/>
                <w:bCs/>
                <w:color w:val="auto"/>
                <w:sz w:val="28"/>
                <w:szCs w:val="28"/>
              </w:rPr>
            </w:pPr>
            <w:r>
              <w:rPr>
                <w:rFonts w:hint="eastAsia"/>
                <w:b/>
                <w:bCs/>
                <w:color w:val="auto"/>
                <w:sz w:val="28"/>
              </w:rPr>
              <w:t>1.1资格性/符合性自查表</w:t>
            </w:r>
          </w:p>
        </w:tc>
      </w:tr>
      <w:tr>
        <w:tblPrEx>
          <w:tblLayout w:type="fixed"/>
          <w:tblCellMar>
            <w:top w:w="0" w:type="dxa"/>
            <w:left w:w="0" w:type="dxa"/>
            <w:bottom w:w="0" w:type="dxa"/>
            <w:right w:w="0" w:type="dxa"/>
          </w:tblCellMar>
        </w:tblPrEx>
        <w:trPr>
          <w:trHeight w:val="522"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171"/>
              <w:jc w:val="center"/>
              <w:rPr>
                <w:bCs/>
                <w:color w:val="auto"/>
                <w:szCs w:val="21"/>
              </w:rPr>
            </w:pPr>
            <w:r>
              <w:rPr>
                <w:rFonts w:hint="eastAsia"/>
                <w:bCs/>
                <w:color w:val="auto"/>
                <w:szCs w:val="21"/>
              </w:rPr>
              <w:t>评审内容</w:t>
            </w:r>
          </w:p>
        </w:tc>
        <w:tc>
          <w:tcPr>
            <w:tcW w:w="5040" w:type="dxa"/>
            <w:tcBorders>
              <w:top w:val="single" w:color="auto" w:sz="4" w:space="0"/>
              <w:left w:val="single" w:color="auto" w:sz="4" w:space="0"/>
              <w:bottom w:val="single" w:color="auto" w:sz="4" w:space="0"/>
              <w:right w:val="single" w:color="auto" w:sz="4" w:space="0"/>
            </w:tcBorders>
            <w:vAlign w:val="center"/>
          </w:tcPr>
          <w:p>
            <w:pPr>
              <w:ind w:left="40" w:leftChars="19"/>
              <w:jc w:val="center"/>
              <w:rPr>
                <w:rFonts w:ascii="宋体" w:hAnsi="宋体"/>
                <w:color w:val="auto"/>
                <w:szCs w:val="21"/>
              </w:rPr>
            </w:pPr>
            <w:r>
              <w:rPr>
                <w:rFonts w:hint="eastAsia"/>
                <w:bCs/>
                <w:color w:val="auto"/>
                <w:szCs w:val="21"/>
              </w:rPr>
              <w:t>招标文件要求</w:t>
            </w:r>
          </w:p>
          <w:p>
            <w:pPr>
              <w:ind w:left="-171"/>
              <w:jc w:val="center"/>
              <w:rPr>
                <w:bCs/>
                <w:color w:val="auto"/>
                <w:szCs w:val="21"/>
              </w:rPr>
            </w:pPr>
            <w:r>
              <w:rPr>
                <w:rFonts w:hint="eastAsia" w:ascii="宋体" w:hAnsi="宋体"/>
                <w:color w:val="auto"/>
                <w:szCs w:val="21"/>
              </w:rPr>
              <w:t>（详见《初步审查表》各项）</w:t>
            </w:r>
          </w:p>
        </w:tc>
        <w:tc>
          <w:tcPr>
            <w:tcW w:w="2160" w:type="dxa"/>
            <w:tcBorders>
              <w:top w:val="single" w:color="auto" w:sz="4" w:space="0"/>
              <w:left w:val="nil"/>
              <w:bottom w:val="single" w:color="auto" w:sz="4" w:space="0"/>
              <w:right w:val="single" w:color="auto" w:sz="4" w:space="0"/>
            </w:tcBorders>
            <w:vAlign w:val="center"/>
          </w:tcPr>
          <w:p>
            <w:pPr>
              <w:ind w:left="-171"/>
              <w:jc w:val="center"/>
              <w:rPr>
                <w:bCs/>
                <w:color w:val="auto"/>
                <w:szCs w:val="21"/>
              </w:rPr>
            </w:pPr>
            <w:r>
              <w:rPr>
                <w:rFonts w:hint="eastAsia"/>
                <w:bCs/>
                <w:color w:val="auto"/>
                <w:szCs w:val="21"/>
              </w:rPr>
              <w:t>自查结论</w:t>
            </w:r>
          </w:p>
        </w:tc>
        <w:tc>
          <w:tcPr>
            <w:tcW w:w="1260" w:type="dxa"/>
            <w:tcBorders>
              <w:top w:val="single" w:color="auto" w:sz="4" w:space="0"/>
              <w:left w:val="single" w:color="auto" w:sz="4" w:space="0"/>
              <w:bottom w:val="single" w:color="auto" w:sz="4" w:space="0"/>
              <w:right w:val="single" w:color="auto" w:sz="4" w:space="0"/>
            </w:tcBorders>
            <w:vAlign w:val="center"/>
          </w:tcPr>
          <w:p>
            <w:pPr>
              <w:ind w:left="-171"/>
              <w:jc w:val="center"/>
              <w:rPr>
                <w:bCs/>
                <w:color w:val="auto"/>
                <w:szCs w:val="21"/>
              </w:rPr>
            </w:pPr>
            <w:r>
              <w:rPr>
                <w:rFonts w:hint="eastAsia"/>
                <w:bCs/>
                <w:color w:val="auto"/>
                <w:szCs w:val="21"/>
              </w:rPr>
              <w:t>证明资料</w:t>
            </w:r>
          </w:p>
        </w:tc>
      </w:tr>
      <w:tr>
        <w:tblPrEx>
          <w:tblLayout w:type="fixed"/>
          <w:tblCellMar>
            <w:top w:w="0" w:type="dxa"/>
            <w:left w:w="0" w:type="dxa"/>
            <w:bottom w:w="0" w:type="dxa"/>
            <w:right w:w="0" w:type="dxa"/>
          </w:tblCellMar>
        </w:tblPrEx>
        <w:trPr>
          <w:trHeight w:val="510" w:hRule="atLeast"/>
        </w:trPr>
        <w:tc>
          <w:tcPr>
            <w:tcW w:w="900" w:type="dxa"/>
            <w:vMerge w:val="restart"/>
            <w:tcBorders>
              <w:top w:val="single" w:color="auto" w:sz="4" w:space="0"/>
              <w:left w:val="single" w:color="auto" w:sz="4" w:space="0"/>
              <w:right w:val="single" w:color="auto" w:sz="4" w:space="0"/>
            </w:tcBorders>
            <w:vAlign w:val="center"/>
          </w:tcPr>
          <w:p>
            <w:pPr>
              <w:ind w:left="40" w:leftChars="19"/>
              <w:jc w:val="center"/>
              <w:rPr>
                <w:color w:val="auto"/>
              </w:rPr>
            </w:pPr>
            <w:r>
              <w:rPr>
                <w:rFonts w:hint="eastAsia"/>
                <w:color w:val="auto"/>
              </w:rPr>
              <w:t>资格性</w:t>
            </w:r>
          </w:p>
          <w:p>
            <w:pPr>
              <w:ind w:left="40" w:leftChars="19"/>
              <w:jc w:val="center"/>
              <w:rPr>
                <w:color w:val="auto"/>
              </w:rPr>
            </w:pPr>
            <w:r>
              <w:rPr>
                <w:rFonts w:hint="eastAsia"/>
                <w:color w:val="auto"/>
              </w:rPr>
              <w:t>符合性</w:t>
            </w:r>
          </w:p>
          <w:p>
            <w:pPr>
              <w:ind w:left="40" w:leftChars="19"/>
              <w:jc w:val="center"/>
              <w:rPr>
                <w:color w:val="auto"/>
              </w:rPr>
            </w:pPr>
            <w:r>
              <w:rPr>
                <w:rFonts w:hint="eastAsia"/>
                <w:color w:val="auto"/>
              </w:rPr>
              <w:t>审查</w:t>
            </w: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rPr>
            </w:pPr>
            <w:r>
              <w:rPr>
                <w:rFonts w:hint="eastAsia"/>
                <w:color w:val="auto"/>
                <w:sz w:val="18"/>
                <w:szCs w:val="18"/>
              </w:rPr>
              <w:t>投标函及投标有效期</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color w:val="auto"/>
              </w:rPr>
            </w:pPr>
            <w:r>
              <w:rPr>
                <w:rFonts w:hint="eastAsia"/>
                <w:color w:val="auto"/>
              </w:rPr>
              <w:t>见投标文件第（）页</w:t>
            </w:r>
          </w:p>
        </w:tc>
      </w:tr>
      <w:tr>
        <w:tblPrEx>
          <w:tblLayout w:type="fixed"/>
          <w:tblCellMar>
            <w:top w:w="0" w:type="dxa"/>
            <w:left w:w="0" w:type="dxa"/>
            <w:bottom w:w="0" w:type="dxa"/>
            <w:right w:w="0" w:type="dxa"/>
          </w:tblCellMar>
        </w:tblPrEx>
        <w:trPr>
          <w:trHeight w:val="510" w:hRule="atLeast"/>
        </w:trPr>
        <w:tc>
          <w:tcPr>
            <w:tcW w:w="900" w:type="dxa"/>
            <w:vMerge w:val="continue"/>
            <w:tcBorders>
              <w:top w:val="single" w:color="auto" w:sz="4" w:space="0"/>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rPr>
                <w:color w:val="auto"/>
                <w:sz w:val="18"/>
                <w:szCs w:val="18"/>
              </w:rPr>
            </w:pPr>
            <w:r>
              <w:rPr>
                <w:rFonts w:hint="eastAsia"/>
                <w:color w:val="auto"/>
                <w:sz w:val="18"/>
                <w:szCs w:val="18"/>
              </w:rPr>
              <w:t>按招标文件规定加盖公章和签署</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r>
        <w:tblPrEx>
          <w:tblLayout w:type="fixed"/>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rPr>
                <w:color w:val="auto"/>
              </w:rPr>
            </w:pPr>
            <w:r>
              <w:rPr>
                <w:rFonts w:hint="eastAsia"/>
                <w:color w:val="auto"/>
                <w:sz w:val="18"/>
                <w:szCs w:val="18"/>
              </w:rPr>
              <w:t>已提交法定代表人/负责人资格证明书及授权委托书</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color w:val="auto"/>
              </w:rPr>
            </w:pPr>
            <w:r>
              <w:rPr>
                <w:rFonts w:hint="eastAsia"/>
                <w:color w:val="auto"/>
              </w:rPr>
              <w:t>见投标文件第（）页</w:t>
            </w:r>
          </w:p>
        </w:tc>
      </w:tr>
      <w:tr>
        <w:tblPrEx>
          <w:tblLayout w:type="fixed"/>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szCs w:val="21"/>
              </w:rPr>
            </w:pPr>
            <w:r>
              <w:rPr>
                <w:rFonts w:hint="eastAsia"/>
                <w:color w:val="auto"/>
                <w:sz w:val="18"/>
                <w:szCs w:val="18"/>
              </w:rPr>
              <w:t>投标保证金</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color w:val="auto"/>
              </w:rPr>
            </w:pPr>
            <w:r>
              <w:rPr>
                <w:rFonts w:hint="eastAsia"/>
                <w:color w:val="auto"/>
              </w:rPr>
              <w:t>见投标文件第（）页</w:t>
            </w:r>
          </w:p>
        </w:tc>
      </w:tr>
      <w:tr>
        <w:tblPrEx>
          <w:tblLayout w:type="fixed"/>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sz w:val="18"/>
                <w:szCs w:val="18"/>
              </w:rPr>
            </w:pPr>
            <w:r>
              <w:rPr>
                <w:rFonts w:hint="eastAsia"/>
                <w:color w:val="auto"/>
                <w:sz w:val="18"/>
                <w:szCs w:val="18"/>
              </w:rPr>
              <w:t>符合供应商资格条件</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color w:val="auto"/>
              </w:rPr>
            </w:pPr>
            <w:r>
              <w:rPr>
                <w:rFonts w:hint="eastAsia"/>
                <w:color w:val="auto"/>
              </w:rPr>
              <w:t>见投标文件第（）页</w:t>
            </w:r>
          </w:p>
        </w:tc>
      </w:tr>
      <w:tr>
        <w:tblPrEx>
          <w:tblLayout w:type="fixed"/>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sz w:val="18"/>
                <w:szCs w:val="18"/>
              </w:rPr>
            </w:pPr>
            <w:r>
              <w:rPr>
                <w:rFonts w:hint="eastAsia"/>
                <w:color w:val="auto"/>
                <w:sz w:val="18"/>
                <w:szCs w:val="18"/>
              </w:rPr>
              <w:t>投标文件主要资料齐全</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color w:val="auto"/>
              </w:rPr>
            </w:pPr>
            <w:r>
              <w:rPr>
                <w:rFonts w:hint="eastAsia"/>
                <w:color w:val="auto"/>
              </w:rPr>
              <w:t>见投标文件第（）页</w:t>
            </w:r>
          </w:p>
        </w:tc>
      </w:tr>
      <w:tr>
        <w:tblPrEx>
          <w:tblLayout w:type="fixed"/>
          <w:tblCellMar>
            <w:top w:w="0" w:type="dxa"/>
            <w:left w:w="0" w:type="dxa"/>
            <w:bottom w:w="0" w:type="dxa"/>
            <w:right w:w="0" w:type="dxa"/>
          </w:tblCellMar>
        </w:tblPrEx>
        <w:trPr>
          <w:trHeight w:val="612"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szCs w:val="21"/>
              </w:rPr>
            </w:pPr>
            <w:r>
              <w:rPr>
                <w:rFonts w:hint="eastAsia"/>
                <w:color w:val="auto"/>
                <w:sz w:val="18"/>
                <w:szCs w:val="18"/>
              </w:rPr>
              <w:t>按规定格式填写，无内容不全或关键字迹模糊、无法辨认</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color w:val="auto"/>
              </w:rPr>
            </w:pPr>
            <w:r>
              <w:rPr>
                <w:rFonts w:hint="eastAsia"/>
                <w:color w:val="auto"/>
              </w:rPr>
              <w:t>见投标文件第（）页</w:t>
            </w:r>
          </w:p>
        </w:tc>
      </w:tr>
      <w:tr>
        <w:tblPrEx>
          <w:tblLayout w:type="fixed"/>
          <w:tblCellMar>
            <w:top w:w="0" w:type="dxa"/>
            <w:left w:w="0" w:type="dxa"/>
            <w:bottom w:w="0" w:type="dxa"/>
            <w:right w:w="0" w:type="dxa"/>
          </w:tblCellMar>
        </w:tblPrEx>
        <w:trPr>
          <w:trHeight w:val="612"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sz w:val="18"/>
                <w:szCs w:val="18"/>
              </w:rPr>
            </w:pPr>
            <w:r>
              <w:rPr>
                <w:rFonts w:hint="eastAsia"/>
                <w:color w:val="auto"/>
                <w:sz w:val="18"/>
                <w:szCs w:val="18"/>
              </w:rPr>
              <w:t>投标人无递交两份或多份内容不同的投标文件，或在一份投标文件中对同一招标项目有两个或多个报价，且未声明哪个为最终报价的（招标文件规定提交备选投标方案的除外）</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r>
        <w:tblPrEx>
          <w:tblLayout w:type="fixed"/>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tabs>
                <w:tab w:val="left" w:pos="2880"/>
              </w:tabs>
              <w:ind w:left="40" w:leftChars="19"/>
              <w:jc w:val="both"/>
              <w:rPr>
                <w:color w:val="auto"/>
              </w:rPr>
            </w:pPr>
            <w:r>
              <w:rPr>
                <w:rFonts w:hint="eastAsia"/>
                <w:color w:val="auto"/>
                <w:sz w:val="18"/>
                <w:szCs w:val="18"/>
              </w:rPr>
              <w:t xml:space="preserve">投标价格是固定价且未超过本项目采购预算 </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r>
        <w:tblPrEx>
          <w:tblLayout w:type="fixed"/>
          <w:tblCellMar>
            <w:top w:w="0" w:type="dxa"/>
            <w:left w:w="0" w:type="dxa"/>
            <w:bottom w:w="0" w:type="dxa"/>
            <w:right w:w="0" w:type="dxa"/>
          </w:tblCellMar>
        </w:tblPrEx>
        <w:trPr>
          <w:trHeight w:val="450"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rPr>
            </w:pPr>
            <w:r>
              <w:rPr>
                <w:rFonts w:hint="eastAsia"/>
                <w:color w:val="auto"/>
                <w:sz w:val="18"/>
                <w:szCs w:val="18"/>
              </w:rPr>
              <w:t>投标报价无重大漏项或重大不合理</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r>
        <w:tblPrEx>
          <w:tblLayout w:type="fixed"/>
          <w:tblCellMar>
            <w:top w:w="0" w:type="dxa"/>
            <w:left w:w="0" w:type="dxa"/>
            <w:bottom w:w="0" w:type="dxa"/>
            <w:right w:w="0" w:type="dxa"/>
          </w:tblCellMar>
        </w:tblPrEx>
        <w:trPr>
          <w:trHeight w:val="319"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rPr>
            </w:pPr>
            <w:r>
              <w:rPr>
                <w:rFonts w:hint="eastAsia"/>
                <w:color w:val="auto"/>
                <w:sz w:val="18"/>
                <w:szCs w:val="18"/>
              </w:rPr>
              <w:t>主要服务内容和标准满足要求</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r>
        <w:tblPrEx>
          <w:tblLayout w:type="fixed"/>
          <w:tblCellMar>
            <w:top w:w="0" w:type="dxa"/>
            <w:left w:w="0" w:type="dxa"/>
            <w:bottom w:w="0" w:type="dxa"/>
            <w:right w:w="0" w:type="dxa"/>
          </w:tblCellMar>
        </w:tblPrEx>
        <w:trPr>
          <w:trHeight w:val="319" w:hRule="atLeast"/>
        </w:trPr>
        <w:tc>
          <w:tcPr>
            <w:tcW w:w="900" w:type="dxa"/>
            <w:vMerge w:val="continue"/>
            <w:tcBorders>
              <w:left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jc w:val="both"/>
              <w:rPr>
                <w:color w:val="auto"/>
              </w:rPr>
            </w:pPr>
            <w:r>
              <w:rPr>
                <w:rFonts w:hint="eastAsia"/>
                <w:color w:val="auto"/>
                <w:sz w:val="18"/>
                <w:szCs w:val="18"/>
              </w:rPr>
              <w:t>商务无重大保留或偏差</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r>
        <w:tblPrEx>
          <w:tblLayout w:type="fixed"/>
          <w:tblCellMar>
            <w:top w:w="0" w:type="dxa"/>
            <w:left w:w="0" w:type="dxa"/>
            <w:bottom w:w="0" w:type="dxa"/>
            <w:right w:w="0" w:type="dxa"/>
          </w:tblCellMar>
        </w:tblPrEx>
        <w:trPr>
          <w:trHeight w:val="450" w:hRule="atLeast"/>
        </w:trPr>
        <w:tc>
          <w:tcPr>
            <w:tcW w:w="900" w:type="dxa"/>
            <w:vMerge w:val="continue"/>
            <w:tcBorders>
              <w:left w:val="single" w:color="auto" w:sz="4" w:space="0"/>
              <w:bottom w:val="single" w:color="auto" w:sz="4" w:space="0"/>
              <w:right w:val="single" w:color="auto" w:sz="4" w:space="0"/>
            </w:tcBorders>
            <w:vAlign w:val="center"/>
          </w:tcPr>
          <w:p>
            <w:pPr>
              <w:ind w:left="40" w:leftChars="19"/>
              <w:jc w:val="center"/>
              <w:rPr>
                <w:color w:val="auto"/>
              </w:rPr>
            </w:pPr>
          </w:p>
        </w:tc>
        <w:tc>
          <w:tcPr>
            <w:tcW w:w="5040" w:type="dxa"/>
            <w:tcBorders>
              <w:top w:val="single" w:color="auto" w:sz="4" w:space="0"/>
              <w:left w:val="nil"/>
              <w:bottom w:val="single" w:color="auto" w:sz="4" w:space="0"/>
              <w:right w:val="single" w:color="auto" w:sz="4" w:space="0"/>
            </w:tcBorders>
            <w:vAlign w:val="center"/>
          </w:tcPr>
          <w:p>
            <w:pPr>
              <w:ind w:left="40" w:leftChars="19"/>
              <w:rPr>
                <w:color w:val="auto"/>
                <w:sz w:val="18"/>
                <w:szCs w:val="18"/>
              </w:rPr>
            </w:pPr>
            <w:r>
              <w:rPr>
                <w:rFonts w:hint="eastAsia"/>
                <w:color w:val="auto"/>
                <w:sz w:val="18"/>
                <w:szCs w:val="18"/>
              </w:rPr>
              <w:t>无招标文件或法规明确规定可以废标的其他情形</w:t>
            </w:r>
          </w:p>
        </w:tc>
        <w:tc>
          <w:tcPr>
            <w:tcW w:w="2160" w:type="dxa"/>
            <w:tcBorders>
              <w:top w:val="single" w:color="auto" w:sz="4" w:space="0"/>
              <w:left w:val="nil"/>
              <w:bottom w:val="single" w:color="auto" w:sz="4" w:space="0"/>
              <w:right w:val="single" w:color="auto" w:sz="4" w:space="0"/>
            </w:tcBorders>
            <w:vAlign w:val="center"/>
          </w:tcPr>
          <w:p>
            <w:pPr>
              <w:ind w:left="-171"/>
              <w:jc w:val="center"/>
              <w:rPr>
                <w:color w:val="auto"/>
              </w:rPr>
            </w:pPr>
            <w:r>
              <w:rPr>
                <w:rFonts w:hint="eastAsia"/>
                <w:color w:val="auto"/>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color w:val="auto"/>
              </w:rPr>
            </w:pPr>
            <w:r>
              <w:rPr>
                <w:rFonts w:hint="eastAsia"/>
                <w:color w:val="auto"/>
              </w:rPr>
              <w:t>见投标文件</w:t>
            </w:r>
          </w:p>
          <w:p>
            <w:pPr>
              <w:spacing w:line="260" w:lineRule="exact"/>
              <w:ind w:left="-171"/>
              <w:jc w:val="center"/>
              <w:rPr>
                <w:color w:val="auto"/>
              </w:rPr>
            </w:pPr>
            <w:r>
              <w:rPr>
                <w:rFonts w:hint="eastAsia"/>
                <w:color w:val="auto"/>
              </w:rPr>
              <w:t>第（）页</w:t>
            </w:r>
          </w:p>
        </w:tc>
      </w:tr>
    </w:tbl>
    <w:p>
      <w:pPr>
        <w:rPr>
          <w:color w:val="auto"/>
        </w:rPr>
      </w:pPr>
    </w:p>
    <w:p>
      <w:pPr>
        <w:pStyle w:val="21"/>
        <w:spacing w:line="360" w:lineRule="exact"/>
        <w:rPr>
          <w:color w:val="auto"/>
          <w:sz w:val="21"/>
          <w:szCs w:val="21"/>
        </w:rPr>
      </w:pPr>
      <w:r>
        <w:rPr>
          <w:rFonts w:hint="eastAsia"/>
          <w:color w:val="auto"/>
          <w:sz w:val="21"/>
          <w:szCs w:val="21"/>
        </w:rPr>
        <w:t>注：以上材料将作为投标人合格性和有效性审核的重要内容之一，投标人必须严格按照其内容及序列要求在投标文件中对应如实提供，对缺漏和不符合项将会直接导致无效投标！在对应的□打“√”。</w:t>
      </w:r>
    </w:p>
    <w:p>
      <w:pPr>
        <w:adjustRightInd w:val="0"/>
        <w:snapToGrid w:val="0"/>
        <w:spacing w:line="300" w:lineRule="auto"/>
        <w:rPr>
          <w:color w:val="auto"/>
          <w:szCs w:val="21"/>
        </w:rPr>
      </w:pPr>
    </w:p>
    <w:p>
      <w:pPr>
        <w:adjustRightInd w:val="0"/>
        <w:snapToGrid w:val="0"/>
        <w:spacing w:line="300" w:lineRule="auto"/>
        <w:rPr>
          <w:color w:val="auto"/>
          <w:szCs w:val="21"/>
          <w:u w:val="single"/>
        </w:rPr>
      </w:pPr>
      <w:r>
        <w:rPr>
          <w:rFonts w:hint="eastAsia"/>
          <w:color w:val="auto"/>
          <w:szCs w:val="21"/>
        </w:rPr>
        <w:t>投标人法定代表人（或法定代表人授权代表）签字：</w:t>
      </w:r>
      <w:r>
        <w:rPr>
          <w:rFonts w:hint="eastAsia"/>
          <w:color w:val="auto"/>
          <w:szCs w:val="21"/>
          <w:u w:val="single"/>
        </w:rPr>
        <w:t xml:space="preserve">                   </w:t>
      </w:r>
    </w:p>
    <w:p>
      <w:pPr>
        <w:adjustRightInd w:val="0"/>
        <w:snapToGrid w:val="0"/>
        <w:spacing w:line="300" w:lineRule="auto"/>
        <w:rPr>
          <w:color w:val="auto"/>
          <w:szCs w:val="21"/>
          <w:u w:val="single"/>
        </w:rPr>
      </w:pPr>
      <w:r>
        <w:rPr>
          <w:rFonts w:hint="eastAsia"/>
          <w:color w:val="auto"/>
          <w:szCs w:val="21"/>
        </w:rPr>
        <w:t>投标人名称（签章）：</w:t>
      </w:r>
      <w:r>
        <w:rPr>
          <w:rFonts w:hint="eastAsia"/>
          <w:color w:val="auto"/>
          <w:szCs w:val="21"/>
          <w:u w:val="single"/>
        </w:rPr>
        <w:t xml:space="preserve">                        </w:t>
      </w:r>
    </w:p>
    <w:p>
      <w:pPr>
        <w:pStyle w:val="21"/>
        <w:spacing w:line="360" w:lineRule="exact"/>
        <w:rPr>
          <w:color w:val="auto"/>
          <w:sz w:val="21"/>
          <w:szCs w:val="21"/>
        </w:rPr>
      </w:pPr>
      <w:r>
        <w:rPr>
          <w:rFonts w:hint="eastAsia"/>
          <w:color w:val="auto"/>
          <w:sz w:val="21"/>
          <w:szCs w:val="21"/>
        </w:rPr>
        <w:t>日期：   年   月   日</w:t>
      </w:r>
    </w:p>
    <w:p>
      <w:pPr>
        <w:pStyle w:val="21"/>
        <w:spacing w:line="360" w:lineRule="exact"/>
        <w:rPr>
          <w:color w:val="auto"/>
          <w:sz w:val="21"/>
          <w:szCs w:val="21"/>
        </w:rPr>
      </w:pPr>
    </w:p>
    <w:p>
      <w:pPr>
        <w:pStyle w:val="21"/>
        <w:spacing w:line="360" w:lineRule="exact"/>
        <w:rPr>
          <w:color w:val="auto"/>
          <w:sz w:val="21"/>
          <w:szCs w:val="21"/>
        </w:rPr>
        <w:sectPr>
          <w:footerReference r:id="rId12" w:type="default"/>
          <w:pgSz w:w="11907" w:h="16840"/>
          <w:pgMar w:top="1418" w:right="1304" w:bottom="1418" w:left="1304" w:header="851" w:footer="992" w:gutter="0"/>
          <w:cols w:space="720" w:num="1"/>
          <w:docGrid w:linePitch="312" w:charSpace="0"/>
        </w:sectPr>
      </w:pPr>
    </w:p>
    <w:p>
      <w:pPr>
        <w:jc w:val="center"/>
        <w:rPr>
          <w:b/>
          <w:bCs/>
          <w:color w:val="auto"/>
          <w:sz w:val="28"/>
        </w:rPr>
      </w:pPr>
    </w:p>
    <w:p>
      <w:pPr>
        <w:jc w:val="center"/>
        <w:rPr>
          <w:b/>
          <w:bCs/>
          <w:color w:val="auto"/>
          <w:sz w:val="30"/>
        </w:rPr>
      </w:pPr>
      <w:r>
        <w:rPr>
          <w:rFonts w:hint="eastAsia"/>
          <w:b/>
          <w:bCs/>
          <w:color w:val="auto"/>
          <w:sz w:val="28"/>
        </w:rPr>
        <w:t>1.2技术评审自查表</w:t>
      </w:r>
      <w:r>
        <w:rPr>
          <w:rFonts w:hint="eastAsia" w:ascii="宋体" w:hAnsi="宋体" w:cs="宋体"/>
          <w:b/>
          <w:color w:val="auto"/>
          <w:sz w:val="32"/>
          <w:szCs w:val="32"/>
        </w:rPr>
        <w:t xml:space="preserve"> </w:t>
      </w:r>
    </w:p>
    <w:tbl>
      <w:tblPr>
        <w:tblStyle w:val="58"/>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86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b/>
                <w:color w:val="auto"/>
                <w:szCs w:val="21"/>
              </w:rPr>
            </w:pPr>
            <w:r>
              <w:rPr>
                <w:rFonts w:hint="eastAsia" w:ascii="宋体" w:hAnsi="宋体"/>
                <w:b/>
                <w:color w:val="auto"/>
                <w:szCs w:val="21"/>
              </w:rPr>
              <w:t>序号</w:t>
            </w:r>
          </w:p>
        </w:tc>
        <w:tc>
          <w:tcPr>
            <w:tcW w:w="4863" w:type="dxa"/>
            <w:vAlign w:val="center"/>
          </w:tcPr>
          <w:p>
            <w:pPr>
              <w:jc w:val="center"/>
              <w:rPr>
                <w:rFonts w:ascii="宋体" w:hAnsi="宋体"/>
                <w:b/>
                <w:color w:val="auto"/>
                <w:szCs w:val="21"/>
              </w:rPr>
            </w:pPr>
            <w:r>
              <w:rPr>
                <w:rFonts w:hint="eastAsia" w:ascii="宋体" w:hAnsi="宋体"/>
                <w:b/>
                <w:color w:val="auto"/>
                <w:szCs w:val="21"/>
              </w:rPr>
              <w:t>评审内容</w:t>
            </w:r>
          </w:p>
        </w:tc>
        <w:tc>
          <w:tcPr>
            <w:tcW w:w="3311" w:type="dxa"/>
            <w:vAlign w:val="center"/>
          </w:tcPr>
          <w:p>
            <w:pPr>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1</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2</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3</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4</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5</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6</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7</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p>
        </w:tc>
      </w:tr>
    </w:tbl>
    <w:p>
      <w:pPr>
        <w:pStyle w:val="21"/>
        <w:spacing w:after="0"/>
        <w:ind w:left="424" w:hanging="424" w:hangingChars="202"/>
        <w:rPr>
          <w:rFonts w:ascii="宋体" w:hAnsi="宋体"/>
          <w:color w:val="auto"/>
          <w:sz w:val="21"/>
          <w:szCs w:val="21"/>
          <w:lang w:val="en-GB"/>
        </w:rPr>
      </w:pPr>
      <w:r>
        <w:rPr>
          <w:rFonts w:hint="eastAsia" w:ascii="宋体" w:hAnsi="宋体"/>
          <w:color w:val="auto"/>
          <w:sz w:val="21"/>
          <w:szCs w:val="21"/>
          <w:lang w:val="en-GB"/>
        </w:rPr>
        <w:t>注：</w:t>
      </w:r>
      <w:r>
        <w:rPr>
          <w:rFonts w:hint="eastAsia" w:ascii="宋体" w:hAnsi="宋体"/>
          <w:color w:val="auto"/>
          <w:sz w:val="21"/>
          <w:szCs w:val="21"/>
        </w:rPr>
        <w:t>投标人应根据《技术评审表》的各项内容填写此表</w:t>
      </w:r>
      <w:r>
        <w:rPr>
          <w:rFonts w:hint="eastAsia" w:ascii="宋体" w:hAnsi="宋体"/>
          <w:color w:val="auto"/>
          <w:sz w:val="21"/>
          <w:szCs w:val="21"/>
          <w:lang w:val="en-GB"/>
        </w:rPr>
        <w:t>。</w:t>
      </w:r>
    </w:p>
    <w:p>
      <w:pPr>
        <w:pStyle w:val="21"/>
        <w:spacing w:after="0"/>
        <w:rPr>
          <w:rFonts w:ascii="宋体" w:hAnsi="宋体"/>
          <w:color w:val="auto"/>
          <w:sz w:val="21"/>
          <w:szCs w:val="21"/>
          <w:lang w:val="en-GB"/>
        </w:rPr>
      </w:pPr>
    </w:p>
    <w:p>
      <w:pPr>
        <w:adjustRightInd w:val="0"/>
        <w:snapToGrid w:val="0"/>
        <w:spacing w:line="300" w:lineRule="auto"/>
        <w:rPr>
          <w:color w:val="auto"/>
          <w:szCs w:val="21"/>
          <w:u w:val="single"/>
        </w:rPr>
      </w:pPr>
      <w:r>
        <w:rPr>
          <w:rFonts w:hint="eastAsia"/>
          <w:color w:val="auto"/>
          <w:szCs w:val="21"/>
        </w:rPr>
        <w:t>投标人法定代表人（或法定代表人授权代表）签字：</w:t>
      </w:r>
      <w:r>
        <w:rPr>
          <w:rFonts w:hint="eastAsia"/>
          <w:color w:val="auto"/>
          <w:szCs w:val="21"/>
          <w:u w:val="single"/>
        </w:rPr>
        <w:t xml:space="preserve">                   </w:t>
      </w:r>
    </w:p>
    <w:p>
      <w:pPr>
        <w:adjustRightInd w:val="0"/>
        <w:snapToGrid w:val="0"/>
        <w:spacing w:line="300" w:lineRule="auto"/>
        <w:rPr>
          <w:color w:val="auto"/>
          <w:szCs w:val="21"/>
          <w:u w:val="single"/>
        </w:rPr>
      </w:pPr>
      <w:r>
        <w:rPr>
          <w:rFonts w:hint="eastAsia"/>
          <w:color w:val="auto"/>
          <w:szCs w:val="21"/>
        </w:rPr>
        <w:t>投标人名称（签章）：</w:t>
      </w:r>
      <w:r>
        <w:rPr>
          <w:rFonts w:hint="eastAsia"/>
          <w:color w:val="auto"/>
          <w:szCs w:val="21"/>
          <w:u w:val="single"/>
        </w:rPr>
        <w:t xml:space="preserve">                        </w:t>
      </w:r>
    </w:p>
    <w:p>
      <w:pPr>
        <w:pStyle w:val="21"/>
        <w:spacing w:after="0"/>
        <w:rPr>
          <w:rFonts w:ascii="宋体" w:hAnsi="宋体"/>
          <w:color w:val="auto"/>
          <w:sz w:val="21"/>
          <w:szCs w:val="21"/>
          <w:lang w:val="en-GB"/>
        </w:rPr>
      </w:pPr>
      <w:r>
        <w:rPr>
          <w:rFonts w:hint="eastAsia"/>
          <w:color w:val="auto"/>
          <w:sz w:val="21"/>
          <w:szCs w:val="21"/>
        </w:rPr>
        <w:t>日期：   年   月   日</w:t>
      </w:r>
    </w:p>
    <w:p>
      <w:pPr>
        <w:pStyle w:val="21"/>
        <w:spacing w:after="0"/>
        <w:rPr>
          <w:rFonts w:ascii="宋体" w:hAnsi="宋体"/>
          <w:color w:val="auto"/>
          <w:sz w:val="21"/>
          <w:szCs w:val="21"/>
        </w:rPr>
      </w:pPr>
    </w:p>
    <w:p>
      <w:pPr>
        <w:jc w:val="center"/>
        <w:rPr>
          <w:b/>
          <w:bCs/>
          <w:color w:val="auto"/>
          <w:sz w:val="30"/>
        </w:rPr>
      </w:pPr>
      <w:r>
        <w:rPr>
          <w:rFonts w:hint="eastAsia"/>
          <w:b/>
          <w:bCs/>
          <w:color w:val="auto"/>
          <w:sz w:val="28"/>
        </w:rPr>
        <w:t>1.3商务评审自查表</w:t>
      </w:r>
      <w:r>
        <w:rPr>
          <w:rFonts w:hint="eastAsia" w:ascii="宋体" w:hAnsi="宋体" w:cs="宋体"/>
          <w:b/>
          <w:color w:val="auto"/>
          <w:sz w:val="32"/>
          <w:szCs w:val="32"/>
        </w:rPr>
        <w:t xml:space="preserve"> </w:t>
      </w:r>
    </w:p>
    <w:tbl>
      <w:tblPr>
        <w:tblStyle w:val="58"/>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86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b/>
                <w:color w:val="auto"/>
                <w:szCs w:val="21"/>
              </w:rPr>
            </w:pPr>
            <w:r>
              <w:rPr>
                <w:rFonts w:hint="eastAsia" w:ascii="宋体" w:hAnsi="宋体"/>
                <w:b/>
                <w:color w:val="auto"/>
                <w:szCs w:val="21"/>
              </w:rPr>
              <w:t>序号</w:t>
            </w:r>
          </w:p>
        </w:tc>
        <w:tc>
          <w:tcPr>
            <w:tcW w:w="4863" w:type="dxa"/>
            <w:vAlign w:val="center"/>
          </w:tcPr>
          <w:p>
            <w:pPr>
              <w:jc w:val="center"/>
              <w:rPr>
                <w:rFonts w:ascii="宋体" w:hAnsi="宋体"/>
                <w:b/>
                <w:color w:val="auto"/>
                <w:szCs w:val="21"/>
              </w:rPr>
            </w:pPr>
            <w:r>
              <w:rPr>
                <w:rFonts w:hint="eastAsia" w:ascii="宋体" w:hAnsi="宋体"/>
                <w:b/>
                <w:color w:val="auto"/>
                <w:szCs w:val="21"/>
              </w:rPr>
              <w:t>评审内容</w:t>
            </w:r>
          </w:p>
        </w:tc>
        <w:tc>
          <w:tcPr>
            <w:tcW w:w="3311" w:type="dxa"/>
            <w:vAlign w:val="center"/>
          </w:tcPr>
          <w:p>
            <w:pPr>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1</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2</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3</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4</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5</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6</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7</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r>
              <w:rPr>
                <w:rFonts w:hint="eastAsia" w:ascii="宋体" w:hAnsi="宋体"/>
                <w:color w:val="auto"/>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7" w:type="dxa"/>
            <w:vAlign w:val="center"/>
          </w:tcPr>
          <w:p>
            <w:pPr>
              <w:jc w:val="center"/>
              <w:rPr>
                <w:rFonts w:ascii="宋体" w:hAnsi="宋体"/>
                <w:color w:val="auto"/>
                <w:szCs w:val="21"/>
              </w:rPr>
            </w:pPr>
            <w:r>
              <w:rPr>
                <w:rFonts w:hint="eastAsia" w:ascii="宋体" w:hAnsi="宋体"/>
                <w:color w:val="auto"/>
                <w:szCs w:val="21"/>
              </w:rPr>
              <w:t>…</w:t>
            </w:r>
          </w:p>
        </w:tc>
        <w:tc>
          <w:tcPr>
            <w:tcW w:w="4863" w:type="dxa"/>
            <w:vAlign w:val="center"/>
          </w:tcPr>
          <w:p>
            <w:pPr>
              <w:jc w:val="center"/>
              <w:rPr>
                <w:rFonts w:ascii="宋体" w:hAnsi="宋体"/>
                <w:color w:val="auto"/>
                <w:szCs w:val="21"/>
              </w:rPr>
            </w:pPr>
          </w:p>
        </w:tc>
        <w:tc>
          <w:tcPr>
            <w:tcW w:w="3311" w:type="dxa"/>
            <w:vAlign w:val="center"/>
          </w:tcPr>
          <w:p>
            <w:pPr>
              <w:rPr>
                <w:rFonts w:ascii="宋体" w:hAnsi="宋体"/>
                <w:color w:val="auto"/>
                <w:szCs w:val="21"/>
              </w:rPr>
            </w:pPr>
          </w:p>
        </w:tc>
      </w:tr>
    </w:tbl>
    <w:p>
      <w:pPr>
        <w:pStyle w:val="21"/>
        <w:spacing w:after="0"/>
        <w:ind w:left="424" w:hanging="424" w:hangingChars="202"/>
        <w:rPr>
          <w:rFonts w:ascii="宋体" w:hAnsi="宋体"/>
          <w:color w:val="auto"/>
          <w:sz w:val="21"/>
          <w:szCs w:val="21"/>
          <w:lang w:val="en-GB"/>
        </w:rPr>
      </w:pPr>
      <w:r>
        <w:rPr>
          <w:rFonts w:hint="eastAsia" w:ascii="宋体" w:hAnsi="宋体"/>
          <w:color w:val="auto"/>
          <w:sz w:val="21"/>
          <w:szCs w:val="21"/>
          <w:lang w:val="en-GB"/>
        </w:rPr>
        <w:t>注：</w:t>
      </w:r>
      <w:r>
        <w:rPr>
          <w:rFonts w:hint="eastAsia" w:ascii="宋体" w:hAnsi="宋体"/>
          <w:color w:val="auto"/>
          <w:sz w:val="21"/>
          <w:szCs w:val="21"/>
        </w:rPr>
        <w:t>投标人应根据《商务评审表》的各项内容填写此表</w:t>
      </w:r>
      <w:r>
        <w:rPr>
          <w:rFonts w:hint="eastAsia" w:ascii="宋体" w:hAnsi="宋体"/>
          <w:color w:val="auto"/>
          <w:sz w:val="21"/>
          <w:szCs w:val="21"/>
          <w:lang w:val="en-GB"/>
        </w:rPr>
        <w:t>。</w:t>
      </w:r>
    </w:p>
    <w:p>
      <w:pPr>
        <w:pStyle w:val="21"/>
        <w:spacing w:after="0"/>
        <w:rPr>
          <w:rFonts w:ascii="宋体" w:hAnsi="宋体"/>
          <w:color w:val="auto"/>
          <w:sz w:val="21"/>
          <w:szCs w:val="21"/>
          <w:lang w:val="en-GB"/>
        </w:rPr>
      </w:pPr>
    </w:p>
    <w:p>
      <w:pPr>
        <w:adjustRightInd w:val="0"/>
        <w:snapToGrid w:val="0"/>
        <w:spacing w:line="300" w:lineRule="auto"/>
        <w:rPr>
          <w:color w:val="auto"/>
          <w:szCs w:val="21"/>
          <w:u w:val="single"/>
        </w:rPr>
      </w:pPr>
      <w:r>
        <w:rPr>
          <w:rFonts w:hint="eastAsia"/>
          <w:color w:val="auto"/>
          <w:szCs w:val="21"/>
        </w:rPr>
        <w:t>投标人法定代表人（或法定代表人授权代表）签字：</w:t>
      </w:r>
      <w:r>
        <w:rPr>
          <w:rFonts w:hint="eastAsia"/>
          <w:color w:val="auto"/>
          <w:szCs w:val="21"/>
          <w:u w:val="single"/>
        </w:rPr>
        <w:t xml:space="preserve">                   </w:t>
      </w:r>
    </w:p>
    <w:p>
      <w:pPr>
        <w:adjustRightInd w:val="0"/>
        <w:snapToGrid w:val="0"/>
        <w:spacing w:line="300" w:lineRule="auto"/>
        <w:rPr>
          <w:color w:val="auto"/>
          <w:szCs w:val="21"/>
          <w:u w:val="single"/>
        </w:rPr>
      </w:pPr>
      <w:r>
        <w:rPr>
          <w:rFonts w:hint="eastAsia"/>
          <w:color w:val="auto"/>
          <w:szCs w:val="21"/>
        </w:rPr>
        <w:t>投标人名称（签章）：</w:t>
      </w:r>
      <w:r>
        <w:rPr>
          <w:rFonts w:hint="eastAsia"/>
          <w:color w:val="auto"/>
          <w:szCs w:val="21"/>
          <w:u w:val="single"/>
        </w:rPr>
        <w:t xml:space="preserve">                        </w:t>
      </w:r>
    </w:p>
    <w:p>
      <w:pPr>
        <w:pStyle w:val="21"/>
        <w:spacing w:after="0"/>
        <w:rPr>
          <w:rFonts w:ascii="宋体" w:hAnsi="宋体"/>
          <w:color w:val="auto"/>
          <w:sz w:val="21"/>
          <w:szCs w:val="21"/>
          <w:lang w:val="en-GB"/>
        </w:rPr>
      </w:pPr>
      <w:r>
        <w:rPr>
          <w:rFonts w:hint="eastAsia"/>
          <w:color w:val="auto"/>
          <w:sz w:val="21"/>
          <w:szCs w:val="21"/>
        </w:rPr>
        <w:t>日期：   年   月   日</w:t>
      </w:r>
    </w:p>
    <w:p>
      <w:pPr>
        <w:pStyle w:val="21"/>
        <w:spacing w:line="360" w:lineRule="exact"/>
        <w:rPr>
          <w:color w:val="auto"/>
          <w:sz w:val="21"/>
          <w:szCs w:val="21"/>
        </w:rPr>
        <w:sectPr>
          <w:pgSz w:w="11907" w:h="16840"/>
          <w:pgMar w:top="1418" w:right="1304" w:bottom="1418" w:left="1304" w:header="851" w:footer="992" w:gutter="0"/>
          <w:cols w:space="720" w:num="1"/>
          <w:docGrid w:linePitch="312" w:charSpace="0"/>
        </w:sectPr>
      </w:pPr>
    </w:p>
    <w:p>
      <w:pPr>
        <w:pStyle w:val="3"/>
        <w:rPr>
          <w:rFonts w:ascii="Times New Roman" w:hAnsi="Times New Roman" w:eastAsia="宋体"/>
          <w:color w:val="auto"/>
        </w:rPr>
      </w:pPr>
      <w:bookmarkStart w:id="9" w:name="_Toc202817003"/>
      <w:bookmarkStart w:id="10" w:name="_Toc202254111"/>
      <w:bookmarkStart w:id="11" w:name="_Toc202251080"/>
      <w:bookmarkStart w:id="12" w:name="_Toc202251705"/>
      <w:bookmarkStart w:id="13" w:name="_Toc202819885"/>
      <w:bookmarkStart w:id="14" w:name="_Toc202820358"/>
      <w:bookmarkStart w:id="15" w:name="_Toc202252040"/>
      <w:r>
        <w:rPr>
          <w:rFonts w:hint="eastAsia" w:ascii="Times New Roman" w:hAnsi="Times New Roman" w:eastAsia="宋体"/>
          <w:color w:val="auto"/>
        </w:rPr>
        <w:t>二、价格部分</w:t>
      </w:r>
    </w:p>
    <w:p>
      <w:pPr>
        <w:pStyle w:val="25"/>
        <w:spacing w:line="360" w:lineRule="auto"/>
        <w:jc w:val="center"/>
        <w:rPr>
          <w:b/>
          <w:color w:val="auto"/>
          <w:sz w:val="30"/>
        </w:rPr>
      </w:pPr>
      <w:r>
        <w:rPr>
          <w:rFonts w:hint="eastAsia"/>
          <w:b/>
          <w:color w:val="auto"/>
          <w:sz w:val="30"/>
        </w:rPr>
        <w:t>投标报价总表（  ）包</w:t>
      </w:r>
    </w:p>
    <w:p>
      <w:pPr>
        <w:pStyle w:val="25"/>
        <w:spacing w:line="360" w:lineRule="auto"/>
        <w:jc w:val="center"/>
        <w:rPr>
          <w:color w:val="auto"/>
        </w:rPr>
      </w:pPr>
      <w:r>
        <w:rPr>
          <w:rFonts w:hint="eastAsia"/>
          <w:color w:val="auto"/>
        </w:rPr>
        <w:t>[价格单位：（人民币）元]</w:t>
      </w:r>
    </w:p>
    <w:tbl>
      <w:tblPr>
        <w:tblStyle w:val="58"/>
        <w:tblW w:w="8612" w:type="dxa"/>
        <w:tblInd w:w="133" w:type="dxa"/>
        <w:tblLayout w:type="fixed"/>
        <w:tblCellMar>
          <w:top w:w="0" w:type="dxa"/>
          <w:left w:w="30" w:type="dxa"/>
          <w:bottom w:w="0" w:type="dxa"/>
          <w:right w:w="30" w:type="dxa"/>
        </w:tblCellMar>
      </w:tblPr>
      <w:tblGrid>
        <w:gridCol w:w="1892"/>
        <w:gridCol w:w="1470"/>
        <w:gridCol w:w="1680"/>
        <w:gridCol w:w="1575"/>
        <w:gridCol w:w="1995"/>
      </w:tblGrid>
      <w:tr>
        <w:tblPrEx>
          <w:tblLayout w:type="fixed"/>
          <w:tblCellMar>
            <w:top w:w="0" w:type="dxa"/>
            <w:left w:w="30" w:type="dxa"/>
            <w:bottom w:w="0" w:type="dxa"/>
            <w:right w:w="30" w:type="dxa"/>
          </w:tblCellMar>
        </w:tblPrEx>
        <w:trPr>
          <w:cantSplit/>
          <w:trHeight w:val="787" w:hRule="atLeast"/>
        </w:trPr>
        <w:tc>
          <w:tcPr>
            <w:tcW w:w="1892" w:type="dxa"/>
            <w:tcBorders>
              <w:top w:val="double" w:color="auto" w:sz="4" w:space="0"/>
              <w:left w:val="double" w:color="auto" w:sz="4" w:space="0"/>
              <w:bottom w:val="nil"/>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成品油名称</w:t>
            </w:r>
          </w:p>
        </w:tc>
        <w:tc>
          <w:tcPr>
            <w:tcW w:w="1470" w:type="dxa"/>
            <w:tcBorders>
              <w:top w:val="double" w:color="auto" w:sz="4"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物价部门规定零售价</w:t>
            </w:r>
          </w:p>
          <w:p>
            <w:pPr>
              <w:autoSpaceDE w:val="0"/>
              <w:autoSpaceDN w:val="0"/>
              <w:adjustRightInd w:val="0"/>
              <w:jc w:val="center"/>
              <w:rPr>
                <w:rFonts w:ascii="宋体"/>
                <w:color w:val="auto"/>
              </w:rPr>
            </w:pPr>
            <w:r>
              <w:rPr>
                <w:rFonts w:hint="eastAsia" w:ascii="宋体"/>
                <w:color w:val="auto"/>
              </w:rPr>
              <w:t>（元／升）</w:t>
            </w:r>
          </w:p>
        </w:tc>
        <w:tc>
          <w:tcPr>
            <w:tcW w:w="1680"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每升油可优惠的金额（元/升）</w:t>
            </w:r>
          </w:p>
        </w:tc>
        <w:tc>
          <w:tcPr>
            <w:tcW w:w="1575" w:type="dxa"/>
            <w:tcBorders>
              <w:top w:val="double" w:color="auto" w:sz="4" w:space="0"/>
              <w:left w:val="single" w:color="auto" w:sz="4" w:space="0"/>
              <w:bottom w:val="single" w:color="auto" w:sz="4" w:space="0"/>
              <w:right w:val="single" w:color="auto" w:sz="6" w:space="0"/>
            </w:tcBorders>
            <w:vAlign w:val="center"/>
          </w:tcPr>
          <w:p>
            <w:pPr>
              <w:autoSpaceDE w:val="0"/>
              <w:autoSpaceDN w:val="0"/>
              <w:adjustRightInd w:val="0"/>
              <w:jc w:val="center"/>
              <w:rPr>
                <w:rFonts w:ascii="宋体"/>
                <w:color w:val="auto"/>
              </w:rPr>
            </w:pPr>
            <w:r>
              <w:rPr>
                <w:rFonts w:hint="eastAsia" w:ascii="宋体"/>
                <w:color w:val="auto"/>
              </w:rPr>
              <w:t>协议加油价</w:t>
            </w:r>
          </w:p>
          <w:p>
            <w:pPr>
              <w:autoSpaceDE w:val="0"/>
              <w:autoSpaceDN w:val="0"/>
              <w:adjustRightInd w:val="0"/>
              <w:jc w:val="center"/>
              <w:rPr>
                <w:rFonts w:ascii="宋体"/>
                <w:color w:val="auto"/>
              </w:rPr>
            </w:pPr>
            <w:r>
              <w:rPr>
                <w:rFonts w:hint="eastAsia" w:ascii="宋体"/>
                <w:color w:val="auto"/>
              </w:rPr>
              <w:t>（元/升）</w:t>
            </w:r>
          </w:p>
        </w:tc>
        <w:tc>
          <w:tcPr>
            <w:tcW w:w="1995"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color w:val="auto"/>
              </w:rPr>
            </w:pPr>
            <w:r>
              <w:rPr>
                <w:rFonts w:hint="eastAsia" w:ascii="宋体"/>
                <w:color w:val="auto"/>
              </w:rPr>
              <w:t>备</w:t>
            </w:r>
            <w:r>
              <w:rPr>
                <w:rFonts w:ascii="宋体"/>
                <w:color w:val="auto"/>
              </w:rPr>
              <w:t xml:space="preserve">      </w:t>
            </w:r>
            <w:r>
              <w:rPr>
                <w:rFonts w:hint="eastAsia" w:ascii="宋体"/>
                <w:color w:val="auto"/>
              </w:rPr>
              <w:t>注</w:t>
            </w:r>
          </w:p>
        </w:tc>
      </w:tr>
      <w:tr>
        <w:tblPrEx>
          <w:tblLayout w:type="fixed"/>
          <w:tblCellMar>
            <w:top w:w="0" w:type="dxa"/>
            <w:left w:w="30" w:type="dxa"/>
            <w:bottom w:w="0" w:type="dxa"/>
            <w:right w:w="30" w:type="dxa"/>
          </w:tblCellMar>
        </w:tblPrEx>
        <w:trPr>
          <w:cantSplit/>
          <w:trHeight w:val="716" w:hRule="atLeast"/>
        </w:trPr>
        <w:tc>
          <w:tcPr>
            <w:tcW w:w="1892" w:type="dxa"/>
            <w:tcBorders>
              <w:top w:val="single" w:color="auto" w:sz="6" w:space="0"/>
              <w:left w:val="double" w:color="auto" w:sz="4" w:space="0"/>
              <w:bottom w:val="single" w:color="auto" w:sz="6" w:space="0"/>
              <w:right w:val="single" w:color="auto" w:sz="4" w:space="0"/>
            </w:tcBorders>
            <w:vAlign w:val="center"/>
          </w:tcPr>
          <w:p>
            <w:pPr>
              <w:jc w:val="center"/>
              <w:rPr>
                <w:color w:val="auto"/>
              </w:rPr>
            </w:pPr>
            <w:r>
              <w:rPr>
                <w:rFonts w:hint="eastAsia" w:ascii="宋体"/>
                <w:color w:val="auto"/>
              </w:rPr>
              <w:t>95号无铅汽油</w:t>
            </w:r>
          </w:p>
        </w:tc>
        <w:tc>
          <w:tcPr>
            <w:tcW w:w="1470"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rPr>
            </w:pPr>
          </w:p>
        </w:tc>
        <w:tc>
          <w:tcPr>
            <w:tcW w:w="1575"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jc w:val="center"/>
              <w:rPr>
                <w:rFonts w:ascii="宋体"/>
                <w:color w:val="auto"/>
              </w:rPr>
            </w:pPr>
          </w:p>
        </w:tc>
        <w:tc>
          <w:tcPr>
            <w:tcW w:w="1995"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color w:val="auto"/>
              </w:rPr>
            </w:pPr>
          </w:p>
        </w:tc>
      </w:tr>
      <w:tr>
        <w:tblPrEx>
          <w:tblLayout w:type="fixed"/>
          <w:tblCellMar>
            <w:top w:w="0" w:type="dxa"/>
            <w:left w:w="30" w:type="dxa"/>
            <w:bottom w:w="0" w:type="dxa"/>
            <w:right w:w="30" w:type="dxa"/>
          </w:tblCellMar>
        </w:tblPrEx>
        <w:trPr>
          <w:cantSplit/>
          <w:trHeight w:val="716" w:hRule="atLeast"/>
        </w:trPr>
        <w:tc>
          <w:tcPr>
            <w:tcW w:w="1892" w:type="dxa"/>
            <w:tcBorders>
              <w:top w:val="single" w:color="auto" w:sz="6" w:space="0"/>
              <w:left w:val="double" w:color="auto" w:sz="4" w:space="0"/>
              <w:bottom w:val="single" w:color="auto" w:sz="6" w:space="0"/>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92号无铅汽油</w:t>
            </w:r>
          </w:p>
        </w:tc>
        <w:tc>
          <w:tcPr>
            <w:tcW w:w="1470"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rPr>
            </w:pPr>
          </w:p>
        </w:tc>
        <w:tc>
          <w:tcPr>
            <w:tcW w:w="1575"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jc w:val="center"/>
              <w:rPr>
                <w:rFonts w:ascii="宋体"/>
                <w:color w:val="auto"/>
              </w:rPr>
            </w:pPr>
          </w:p>
        </w:tc>
        <w:tc>
          <w:tcPr>
            <w:tcW w:w="1995"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color w:val="auto"/>
              </w:rPr>
            </w:pPr>
          </w:p>
        </w:tc>
      </w:tr>
      <w:tr>
        <w:tblPrEx>
          <w:tblLayout w:type="fixed"/>
          <w:tblCellMar>
            <w:top w:w="0" w:type="dxa"/>
            <w:left w:w="30" w:type="dxa"/>
            <w:bottom w:w="0" w:type="dxa"/>
            <w:right w:w="30" w:type="dxa"/>
          </w:tblCellMar>
        </w:tblPrEx>
        <w:trPr>
          <w:cantSplit/>
          <w:trHeight w:val="716" w:hRule="atLeast"/>
        </w:trPr>
        <w:tc>
          <w:tcPr>
            <w:tcW w:w="1892" w:type="dxa"/>
            <w:tcBorders>
              <w:top w:val="single" w:color="auto" w:sz="6" w:space="0"/>
              <w:left w:val="double" w:color="auto" w:sz="4" w:space="0"/>
              <w:bottom w:val="single" w:color="auto" w:sz="6" w:space="0"/>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0号柴油</w:t>
            </w:r>
          </w:p>
        </w:tc>
        <w:tc>
          <w:tcPr>
            <w:tcW w:w="1470"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color w:val="auto"/>
              </w:rPr>
            </w:pPr>
          </w:p>
        </w:tc>
        <w:tc>
          <w:tcPr>
            <w:tcW w:w="1680" w:type="dxa"/>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color w:val="auto"/>
              </w:rPr>
            </w:pPr>
          </w:p>
        </w:tc>
        <w:tc>
          <w:tcPr>
            <w:tcW w:w="1575"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color w:val="auto"/>
              </w:rPr>
            </w:pPr>
          </w:p>
        </w:tc>
        <w:tc>
          <w:tcPr>
            <w:tcW w:w="1995"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color w:val="auto"/>
              </w:rPr>
            </w:pPr>
          </w:p>
        </w:tc>
      </w:tr>
      <w:tr>
        <w:tblPrEx>
          <w:tblLayout w:type="fixed"/>
          <w:tblCellMar>
            <w:top w:w="0" w:type="dxa"/>
            <w:left w:w="30" w:type="dxa"/>
            <w:bottom w:w="0" w:type="dxa"/>
            <w:right w:w="30" w:type="dxa"/>
          </w:tblCellMar>
        </w:tblPrEx>
        <w:trPr>
          <w:cantSplit/>
          <w:trHeight w:val="716" w:hRule="atLeast"/>
        </w:trPr>
        <w:tc>
          <w:tcPr>
            <w:tcW w:w="1892" w:type="dxa"/>
            <w:tcBorders>
              <w:top w:val="single" w:color="auto" w:sz="6" w:space="0"/>
              <w:left w:val="double" w:color="auto" w:sz="4" w:space="0"/>
              <w:bottom w:val="single" w:color="auto" w:sz="6" w:space="0"/>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总计（元）：</w:t>
            </w:r>
          </w:p>
        </w:tc>
        <w:tc>
          <w:tcPr>
            <w:tcW w:w="6720" w:type="dxa"/>
            <w:gridSpan w:val="4"/>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olor w:val="auto"/>
              </w:rPr>
            </w:pPr>
            <w:r>
              <w:rPr>
                <w:rFonts w:hint="eastAsia" w:ascii="宋体"/>
                <w:color w:val="auto"/>
              </w:rPr>
              <w:t>总计=</w:t>
            </w:r>
            <w:r>
              <w:rPr>
                <w:rFonts w:ascii="宋体"/>
                <w:color w:val="auto"/>
              </w:rPr>
              <w:t xml:space="preserve"> 0#柴油</w:t>
            </w:r>
            <w:r>
              <w:rPr>
                <w:rFonts w:hint="eastAsia" w:ascii="宋体"/>
                <w:color w:val="auto"/>
              </w:rPr>
              <w:t>协议加油价×</w:t>
            </w:r>
            <w:r>
              <w:rPr>
                <w:rFonts w:ascii="宋体"/>
                <w:color w:val="auto"/>
              </w:rPr>
              <w:t>23%</w:t>
            </w:r>
            <w:r>
              <w:rPr>
                <w:rFonts w:hint="eastAsia" w:ascii="宋体"/>
                <w:color w:val="auto"/>
              </w:rPr>
              <w:t>＋</w:t>
            </w:r>
            <w:r>
              <w:rPr>
                <w:rFonts w:ascii="宋体"/>
                <w:color w:val="auto"/>
              </w:rPr>
              <w:t>92#汽油</w:t>
            </w:r>
            <w:r>
              <w:rPr>
                <w:rFonts w:hint="eastAsia" w:ascii="宋体"/>
                <w:color w:val="auto"/>
              </w:rPr>
              <w:t>协议加油价×</w:t>
            </w:r>
            <w:r>
              <w:rPr>
                <w:rFonts w:ascii="宋体"/>
                <w:color w:val="auto"/>
              </w:rPr>
              <w:t>76%</w:t>
            </w:r>
            <w:r>
              <w:rPr>
                <w:rFonts w:hint="eastAsia" w:ascii="宋体"/>
                <w:color w:val="auto"/>
              </w:rPr>
              <w:t>＋</w:t>
            </w:r>
            <w:r>
              <w:rPr>
                <w:rFonts w:ascii="宋体"/>
                <w:color w:val="auto"/>
              </w:rPr>
              <w:t>95#汽油</w:t>
            </w:r>
            <w:r>
              <w:rPr>
                <w:rFonts w:hint="eastAsia" w:ascii="宋体"/>
                <w:color w:val="auto"/>
              </w:rPr>
              <w:t>协议加油价×</w:t>
            </w:r>
            <w:r>
              <w:rPr>
                <w:rFonts w:ascii="宋体"/>
                <w:color w:val="auto"/>
              </w:rPr>
              <w:t>1%</w:t>
            </w:r>
          </w:p>
        </w:tc>
      </w:tr>
      <w:tr>
        <w:tblPrEx>
          <w:tblLayout w:type="fixed"/>
          <w:tblCellMar>
            <w:top w:w="0" w:type="dxa"/>
            <w:left w:w="30" w:type="dxa"/>
            <w:bottom w:w="0" w:type="dxa"/>
            <w:right w:w="30" w:type="dxa"/>
          </w:tblCellMar>
        </w:tblPrEx>
        <w:trPr>
          <w:cantSplit/>
          <w:trHeight w:val="716" w:hRule="atLeast"/>
        </w:trPr>
        <w:tc>
          <w:tcPr>
            <w:tcW w:w="5042" w:type="dxa"/>
            <w:gridSpan w:val="3"/>
            <w:tcBorders>
              <w:top w:val="single" w:color="auto" w:sz="6" w:space="0"/>
              <w:left w:val="double" w:color="auto" w:sz="4" w:space="0"/>
              <w:bottom w:val="single" w:color="auto" w:sz="6" w:space="0"/>
              <w:right w:val="single" w:color="auto" w:sz="4" w:space="0"/>
            </w:tcBorders>
            <w:vAlign w:val="center"/>
          </w:tcPr>
          <w:p>
            <w:pPr>
              <w:autoSpaceDE w:val="0"/>
              <w:autoSpaceDN w:val="0"/>
              <w:adjustRightInd w:val="0"/>
              <w:jc w:val="center"/>
              <w:rPr>
                <w:rFonts w:ascii="宋体"/>
                <w:color w:val="auto"/>
              </w:rPr>
            </w:pPr>
            <w:r>
              <w:rPr>
                <w:rFonts w:hint="eastAsia" w:ascii="宋体"/>
                <w:color w:val="auto"/>
              </w:rPr>
              <w:t>投标的加油站是否都能提供上述成品油</w:t>
            </w:r>
          </w:p>
        </w:tc>
        <w:tc>
          <w:tcPr>
            <w:tcW w:w="3570" w:type="dxa"/>
            <w:gridSpan w:val="2"/>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color w:val="auto"/>
              </w:rPr>
            </w:pPr>
            <w:r>
              <w:rPr>
                <w:rFonts w:hint="eastAsia" w:ascii="宋体"/>
                <w:color w:val="auto"/>
              </w:rPr>
              <w:t>是（   ）否（   ）</w:t>
            </w:r>
          </w:p>
        </w:tc>
      </w:tr>
    </w:tbl>
    <w:p>
      <w:pPr>
        <w:pStyle w:val="25"/>
        <w:spacing w:line="360" w:lineRule="auto"/>
        <w:ind w:left="840" w:hanging="840" w:hangingChars="400"/>
        <w:rPr>
          <w:rFonts w:hAnsi="Times New Roman"/>
          <w:color w:val="auto"/>
          <w:kern w:val="0"/>
        </w:rPr>
      </w:pPr>
      <w:r>
        <w:rPr>
          <w:rFonts w:hint="eastAsia" w:hAnsi="Times New Roman"/>
          <w:color w:val="auto"/>
          <w:kern w:val="0"/>
        </w:rPr>
        <w:t>注：1、投标时报各种型号规格油品的零售价为投标截止日前第四天（即   年  月  日）中山市物价局规定的成品油油价；</w:t>
      </w:r>
    </w:p>
    <w:p>
      <w:pPr>
        <w:pStyle w:val="25"/>
        <w:spacing w:line="360" w:lineRule="auto"/>
        <w:ind w:firstLine="390"/>
        <w:rPr>
          <w:rFonts w:hAnsi="Times New Roman"/>
          <w:color w:val="auto"/>
          <w:kern w:val="0"/>
        </w:rPr>
      </w:pPr>
      <w:r>
        <w:rPr>
          <w:rFonts w:hint="eastAsia" w:hAnsi="Times New Roman"/>
          <w:color w:val="auto"/>
          <w:kern w:val="0"/>
        </w:rPr>
        <w:t>2、协议加油价 =零售价（元）-每升油可优惠的金额（元）</w:t>
      </w:r>
    </w:p>
    <w:p>
      <w:pPr>
        <w:pStyle w:val="25"/>
        <w:spacing w:line="360" w:lineRule="auto"/>
        <w:ind w:firstLine="390"/>
        <w:rPr>
          <w:rFonts w:hAnsi="Times New Roman"/>
          <w:color w:val="auto"/>
          <w:kern w:val="0"/>
        </w:rPr>
      </w:pPr>
      <w:r>
        <w:rPr>
          <w:rFonts w:hint="eastAsia" w:hAnsi="Times New Roman"/>
          <w:color w:val="auto"/>
          <w:kern w:val="0"/>
        </w:rPr>
        <w:t>3、投标人所报的每升油可优惠的金额在合同执行期间是固定的；</w:t>
      </w:r>
    </w:p>
    <w:p>
      <w:pPr>
        <w:pStyle w:val="25"/>
        <w:spacing w:line="360" w:lineRule="auto"/>
        <w:ind w:firstLine="390"/>
        <w:rPr>
          <w:rFonts w:hAnsi="Times New Roman"/>
          <w:color w:val="auto"/>
          <w:kern w:val="0"/>
        </w:rPr>
      </w:pPr>
      <w:r>
        <w:rPr>
          <w:rFonts w:hint="eastAsia" w:hAnsi="Times New Roman"/>
          <w:color w:val="auto"/>
          <w:kern w:val="0"/>
        </w:rPr>
        <w:t>4、投标人的报价应包含所有的税费和相关杂费；</w:t>
      </w:r>
    </w:p>
    <w:p>
      <w:pPr>
        <w:pStyle w:val="25"/>
        <w:spacing w:line="360" w:lineRule="auto"/>
        <w:ind w:left="601" w:leftChars="186" w:hanging="210" w:hangingChars="100"/>
        <w:rPr>
          <w:rFonts w:hAnsi="Times New Roman"/>
          <w:color w:val="auto"/>
          <w:kern w:val="0"/>
        </w:rPr>
      </w:pPr>
      <w:r>
        <w:rPr>
          <w:rFonts w:hint="eastAsia" w:hAnsi="Times New Roman"/>
          <w:color w:val="auto"/>
          <w:kern w:val="0"/>
        </w:rPr>
        <w:t>5、投标人对以上型号的油，所报每升油可优惠的金额应统一。</w:t>
      </w:r>
    </w:p>
    <w:p>
      <w:pPr>
        <w:pStyle w:val="25"/>
        <w:spacing w:line="360" w:lineRule="auto"/>
        <w:ind w:firstLine="390"/>
        <w:rPr>
          <w:rFonts w:hAnsi="Times New Roman"/>
          <w:color w:val="auto"/>
          <w:kern w:val="0"/>
        </w:rPr>
      </w:pPr>
      <w:r>
        <w:rPr>
          <w:rFonts w:hint="eastAsia" w:hAnsi="Times New Roman"/>
          <w:color w:val="auto"/>
          <w:kern w:val="0"/>
        </w:rPr>
        <w:t>6、投标人认为有必要说明而招标投标报价表中无相应栏目的，请在“备注”栏内描述。</w:t>
      </w:r>
    </w:p>
    <w:p>
      <w:pPr>
        <w:pStyle w:val="25"/>
        <w:spacing w:line="360" w:lineRule="auto"/>
        <w:ind w:firstLine="390"/>
        <w:rPr>
          <w:rFonts w:hAnsi="Times New Roman"/>
          <w:color w:val="auto"/>
          <w:kern w:val="0"/>
        </w:rPr>
      </w:pPr>
      <w:r>
        <w:rPr>
          <w:rFonts w:hint="eastAsia" w:hAnsi="Times New Roman"/>
          <w:color w:val="auto"/>
          <w:kern w:val="0"/>
        </w:rPr>
        <w:t>7、投标人应特别说明是否都能提供上述的成品油产并注明供油渠道。</w:t>
      </w:r>
    </w:p>
    <w:p>
      <w:pPr>
        <w:pStyle w:val="25"/>
        <w:spacing w:line="360" w:lineRule="auto"/>
        <w:ind w:firstLine="390"/>
        <w:rPr>
          <w:rFonts w:hAnsi="Times New Roman"/>
          <w:color w:val="auto"/>
          <w:kern w:val="0"/>
        </w:rPr>
      </w:pPr>
      <w:r>
        <w:rPr>
          <w:rFonts w:hint="eastAsia" w:hAnsi="Times New Roman"/>
          <w:color w:val="auto"/>
          <w:kern w:val="0"/>
        </w:rPr>
        <w:t>8、投标人的协议加油价的总计为价格评审依据。</w:t>
      </w:r>
    </w:p>
    <w:p>
      <w:pPr>
        <w:pStyle w:val="25"/>
        <w:spacing w:line="360" w:lineRule="auto"/>
        <w:rPr>
          <w:color w:val="auto"/>
          <w:spacing w:val="-24"/>
        </w:rPr>
      </w:pPr>
      <w:r>
        <w:rPr>
          <w:rFonts w:hint="eastAsia"/>
          <w:color w:val="auto"/>
          <w:spacing w:val="-24"/>
        </w:rPr>
        <w:t xml:space="preserve">     </w:t>
      </w:r>
    </w:p>
    <w:p>
      <w:pPr>
        <w:adjustRightInd w:val="0"/>
        <w:snapToGrid w:val="0"/>
        <w:spacing w:line="360" w:lineRule="auto"/>
        <w:rPr>
          <w:color w:val="auto"/>
          <w:szCs w:val="21"/>
        </w:rPr>
      </w:pPr>
    </w:p>
    <w:p>
      <w:pPr>
        <w:adjustRightInd w:val="0"/>
        <w:snapToGrid w:val="0"/>
        <w:spacing w:line="360" w:lineRule="auto"/>
        <w:rPr>
          <w:color w:val="auto"/>
          <w:szCs w:val="21"/>
        </w:rPr>
      </w:pPr>
      <w:r>
        <w:rPr>
          <w:rFonts w:hint="eastAsia"/>
          <w:color w:val="auto"/>
          <w:szCs w:val="21"/>
        </w:rPr>
        <w:t>投标人法定代表人（或法定代表人授权代表）签字：</w:t>
      </w:r>
      <w:r>
        <w:rPr>
          <w:rFonts w:hint="eastAsia"/>
          <w:color w:val="auto"/>
          <w:szCs w:val="21"/>
          <w:u w:val="single"/>
        </w:rPr>
        <w:t xml:space="preserve">                   </w:t>
      </w:r>
    </w:p>
    <w:p>
      <w:pPr>
        <w:adjustRightInd w:val="0"/>
        <w:snapToGrid w:val="0"/>
        <w:spacing w:line="360" w:lineRule="auto"/>
        <w:rPr>
          <w:color w:val="auto"/>
          <w:szCs w:val="21"/>
          <w:u w:val="single"/>
        </w:rPr>
      </w:pPr>
      <w:r>
        <w:rPr>
          <w:rFonts w:hint="eastAsia"/>
          <w:color w:val="auto"/>
          <w:szCs w:val="21"/>
        </w:rPr>
        <w:t>投标人名称（签章）：</w:t>
      </w:r>
      <w:r>
        <w:rPr>
          <w:rFonts w:hint="eastAsia"/>
          <w:color w:val="auto"/>
          <w:szCs w:val="21"/>
          <w:u w:val="single"/>
        </w:rPr>
        <w:t xml:space="preserve">                        </w:t>
      </w:r>
    </w:p>
    <w:p>
      <w:pPr>
        <w:spacing w:line="360" w:lineRule="auto"/>
        <w:rPr>
          <w:color w:val="auto"/>
          <w:szCs w:val="21"/>
        </w:rPr>
      </w:pPr>
      <w:r>
        <w:rPr>
          <w:rFonts w:hint="eastAsia"/>
          <w:color w:val="auto"/>
          <w:szCs w:val="21"/>
        </w:rPr>
        <w:t>日期：   年   月   日</w:t>
      </w:r>
    </w:p>
    <w:p>
      <w:pPr>
        <w:pStyle w:val="25"/>
        <w:spacing w:line="480" w:lineRule="exact"/>
        <w:ind w:left="4700" w:leftChars="2238"/>
        <w:rPr>
          <w:rFonts w:ascii="Times New Roman" w:hAnsi="Times New Roman"/>
          <w:color w:val="auto"/>
          <w:szCs w:val="21"/>
        </w:rPr>
      </w:pPr>
    </w:p>
    <w:p>
      <w:pPr>
        <w:pStyle w:val="25"/>
        <w:spacing w:line="480" w:lineRule="exact"/>
        <w:ind w:left="4700" w:leftChars="2238"/>
        <w:rPr>
          <w:rFonts w:ascii="Times New Roman" w:hAnsi="Times New Roman"/>
          <w:color w:val="auto"/>
          <w:szCs w:val="21"/>
        </w:rPr>
      </w:pPr>
    </w:p>
    <w:p>
      <w:pPr>
        <w:pStyle w:val="25"/>
        <w:spacing w:line="480" w:lineRule="exact"/>
        <w:ind w:left="4700" w:leftChars="2238"/>
        <w:rPr>
          <w:rFonts w:ascii="Times New Roman" w:hAnsi="Times New Roman"/>
          <w:color w:val="auto"/>
        </w:rPr>
      </w:pPr>
    </w:p>
    <w:p>
      <w:pPr>
        <w:pStyle w:val="3"/>
        <w:adjustRightInd w:val="0"/>
        <w:snapToGrid w:val="0"/>
        <w:spacing w:line="240" w:lineRule="auto"/>
        <w:rPr>
          <w:rFonts w:ascii="Times New Roman" w:hAnsi="Times New Roman" w:eastAsia="宋体"/>
          <w:color w:val="auto"/>
        </w:rPr>
      </w:pPr>
      <w:r>
        <w:rPr>
          <w:rFonts w:ascii="Times New Roman" w:hAnsi="Times New Roman"/>
          <w:color w:val="auto"/>
        </w:rPr>
        <w:br w:type="page"/>
      </w:r>
      <w:r>
        <w:rPr>
          <w:rFonts w:hint="eastAsia" w:ascii="Times New Roman" w:hAnsi="Times New Roman" w:eastAsia="宋体"/>
          <w:color w:val="auto"/>
        </w:rPr>
        <w:t>三、资格性文件</w:t>
      </w:r>
      <w:bookmarkEnd w:id="9"/>
      <w:bookmarkEnd w:id="10"/>
      <w:bookmarkEnd w:id="11"/>
      <w:bookmarkEnd w:id="12"/>
      <w:bookmarkEnd w:id="13"/>
      <w:bookmarkEnd w:id="14"/>
      <w:bookmarkEnd w:id="15"/>
    </w:p>
    <w:p>
      <w:pPr>
        <w:pStyle w:val="6"/>
        <w:adjustRightInd w:val="0"/>
        <w:snapToGrid w:val="0"/>
        <w:spacing w:line="240" w:lineRule="auto"/>
        <w:ind w:left="0" w:firstLine="0"/>
        <w:rPr>
          <w:rFonts w:ascii="Times New Roman" w:hAnsi="Times New Roman" w:eastAsia="宋体"/>
          <w:color w:val="auto"/>
        </w:rPr>
      </w:pPr>
      <w:r>
        <w:rPr>
          <w:rFonts w:hint="eastAsia" w:ascii="Times New Roman" w:hAnsi="Times New Roman" w:eastAsia="宋体"/>
          <w:color w:val="auto"/>
        </w:rPr>
        <w:t>3.1 投标函</w:t>
      </w:r>
    </w:p>
    <w:p>
      <w:pPr>
        <w:adjustRightInd w:val="0"/>
        <w:snapToGrid w:val="0"/>
        <w:spacing w:line="360" w:lineRule="auto"/>
        <w:rPr>
          <w:color w:val="auto"/>
          <w:szCs w:val="21"/>
        </w:rPr>
      </w:pPr>
      <w:r>
        <w:rPr>
          <w:rFonts w:hint="eastAsia" w:ascii="宋体" w:hAnsi="宋体" w:cs="宋体"/>
          <w:color w:val="auto"/>
          <w:szCs w:val="21"/>
          <w:u w:val="single"/>
        </w:rPr>
        <w:t>中华人民共和国中山海关</w:t>
      </w:r>
      <w:r>
        <w:rPr>
          <w:rFonts w:hint="eastAsia"/>
          <w:color w:val="auto"/>
          <w:szCs w:val="21"/>
          <w:u w:val="single"/>
        </w:rPr>
        <w:t>/</w:t>
      </w:r>
      <w:r>
        <w:rPr>
          <w:rFonts w:hint="eastAsia"/>
          <w:color w:val="auto"/>
          <w:szCs w:val="21"/>
          <w:u w:val="single"/>
          <w:lang w:eastAsia="zh-CN"/>
        </w:rPr>
        <w:t>广东华联建设投资管理股份有限公司中山分公司</w:t>
      </w:r>
      <w:r>
        <w:rPr>
          <w:rFonts w:hint="eastAsia"/>
          <w:color w:val="auto"/>
          <w:szCs w:val="21"/>
        </w:rPr>
        <w:t>：</w:t>
      </w:r>
    </w:p>
    <w:p>
      <w:pPr>
        <w:autoSpaceDE w:val="0"/>
        <w:autoSpaceDN w:val="0"/>
        <w:adjustRightInd w:val="0"/>
        <w:spacing w:line="360" w:lineRule="auto"/>
        <w:ind w:right="26" w:firstLine="472" w:firstLineChars="225"/>
        <w:rPr>
          <w:color w:val="auto"/>
          <w:szCs w:val="21"/>
        </w:rPr>
      </w:pPr>
      <w:r>
        <w:rPr>
          <w:rFonts w:hint="eastAsia"/>
          <w:color w:val="auto"/>
          <w:szCs w:val="21"/>
        </w:rPr>
        <w:t>依据贵方采购项目名称</w:t>
      </w:r>
      <w:r>
        <w:rPr>
          <w:rFonts w:hint="eastAsia"/>
          <w:color w:val="auto"/>
          <w:szCs w:val="21"/>
          <w:u w:val="single"/>
        </w:rPr>
        <w:t xml:space="preserve">（采购项目编号) </w:t>
      </w:r>
      <w:r>
        <w:rPr>
          <w:rFonts w:hint="eastAsia"/>
          <w:color w:val="auto"/>
          <w:szCs w:val="21"/>
        </w:rPr>
        <w:t>项目招标采购服务的投标邀请，我方代表</w:t>
      </w:r>
      <w:r>
        <w:rPr>
          <w:rFonts w:hint="eastAsia"/>
          <w:color w:val="auto"/>
          <w:szCs w:val="21"/>
          <w:u w:val="single"/>
        </w:rPr>
        <w:t>（姓名、职务）</w:t>
      </w:r>
      <w:r>
        <w:rPr>
          <w:rFonts w:hint="eastAsia"/>
          <w:color w:val="auto"/>
          <w:szCs w:val="21"/>
        </w:rPr>
        <w:t>经正式授权并代表</w:t>
      </w:r>
      <w:r>
        <w:rPr>
          <w:rFonts w:hint="eastAsia"/>
          <w:color w:val="auto"/>
          <w:szCs w:val="21"/>
          <w:u w:val="single"/>
        </w:rPr>
        <w:t>（投标人名称、地址）</w:t>
      </w:r>
      <w:r>
        <w:rPr>
          <w:rFonts w:hint="eastAsia"/>
          <w:color w:val="auto"/>
          <w:szCs w:val="21"/>
        </w:rPr>
        <w:t>提交下述文件正本</w:t>
      </w:r>
      <w:r>
        <w:rPr>
          <w:rFonts w:hint="eastAsia"/>
          <w:color w:val="auto"/>
          <w:szCs w:val="21"/>
          <w:u w:val="single"/>
        </w:rPr>
        <w:t xml:space="preserve">    </w:t>
      </w:r>
      <w:r>
        <w:rPr>
          <w:rFonts w:hint="eastAsia"/>
          <w:color w:val="auto"/>
          <w:szCs w:val="21"/>
        </w:rPr>
        <w:t>份，副本</w:t>
      </w:r>
      <w:r>
        <w:rPr>
          <w:rFonts w:hint="eastAsia"/>
          <w:color w:val="auto"/>
          <w:szCs w:val="21"/>
          <w:u w:val="single"/>
        </w:rPr>
        <w:t xml:space="preserve">    </w:t>
      </w:r>
      <w:r>
        <w:rPr>
          <w:rFonts w:hint="eastAsia"/>
          <w:color w:val="auto"/>
          <w:szCs w:val="21"/>
        </w:rPr>
        <w:t>份</w:t>
      </w:r>
      <w:r>
        <w:rPr>
          <w:rFonts w:hint="eastAsia"/>
          <w:color w:val="auto"/>
        </w:rPr>
        <w:t>；并在正本内附有对应于投标文件各册内容的电子文件一套（光盘形式，文件格式采用贵方认可的办公软件制作）</w:t>
      </w:r>
      <w:r>
        <w:rPr>
          <w:rFonts w:hint="eastAsia"/>
          <w:color w:val="auto"/>
          <w:szCs w:val="21"/>
        </w:rPr>
        <w:t>。</w:t>
      </w:r>
    </w:p>
    <w:p>
      <w:pPr>
        <w:autoSpaceDE w:val="0"/>
        <w:autoSpaceDN w:val="0"/>
        <w:adjustRightInd w:val="0"/>
        <w:spacing w:line="300" w:lineRule="auto"/>
        <w:ind w:right="246" w:firstLine="472" w:firstLineChars="225"/>
        <w:rPr>
          <w:rFonts w:ascii="宋体" w:hAnsi="宋体"/>
          <w:color w:val="auto"/>
          <w:szCs w:val="21"/>
        </w:rPr>
      </w:pPr>
      <w:r>
        <w:rPr>
          <w:rFonts w:hint="eastAsia" w:ascii="宋体" w:hAnsi="宋体"/>
          <w:color w:val="auto"/>
          <w:szCs w:val="21"/>
        </w:rPr>
        <w:t>1. 自查表；</w:t>
      </w:r>
    </w:p>
    <w:p>
      <w:pPr>
        <w:autoSpaceDE w:val="0"/>
        <w:autoSpaceDN w:val="0"/>
        <w:adjustRightInd w:val="0"/>
        <w:spacing w:line="300" w:lineRule="auto"/>
        <w:ind w:right="246" w:firstLine="472" w:firstLineChars="225"/>
        <w:rPr>
          <w:rFonts w:ascii="宋体" w:hAnsi="宋体"/>
          <w:color w:val="auto"/>
          <w:szCs w:val="21"/>
        </w:rPr>
      </w:pPr>
      <w:r>
        <w:rPr>
          <w:rFonts w:hint="eastAsia" w:ascii="宋体" w:hAnsi="宋体"/>
          <w:color w:val="auto"/>
          <w:szCs w:val="21"/>
        </w:rPr>
        <w:t>2. 价格部分；</w:t>
      </w:r>
    </w:p>
    <w:p>
      <w:pPr>
        <w:autoSpaceDE w:val="0"/>
        <w:autoSpaceDN w:val="0"/>
        <w:adjustRightInd w:val="0"/>
        <w:spacing w:line="300" w:lineRule="auto"/>
        <w:ind w:right="246" w:firstLine="472" w:firstLineChars="225"/>
        <w:rPr>
          <w:rFonts w:ascii="宋体" w:hAnsi="宋体"/>
          <w:color w:val="auto"/>
          <w:szCs w:val="21"/>
        </w:rPr>
      </w:pPr>
      <w:r>
        <w:rPr>
          <w:rFonts w:hint="eastAsia" w:ascii="宋体" w:hAnsi="宋体"/>
          <w:color w:val="auto"/>
          <w:szCs w:val="21"/>
        </w:rPr>
        <w:t>3. 资格性文件；</w:t>
      </w:r>
    </w:p>
    <w:p>
      <w:pPr>
        <w:autoSpaceDE w:val="0"/>
        <w:autoSpaceDN w:val="0"/>
        <w:adjustRightInd w:val="0"/>
        <w:spacing w:line="300" w:lineRule="auto"/>
        <w:ind w:right="246" w:firstLine="472" w:firstLineChars="225"/>
        <w:rPr>
          <w:rFonts w:ascii="宋体" w:hAnsi="宋体"/>
          <w:color w:val="auto"/>
          <w:szCs w:val="21"/>
        </w:rPr>
      </w:pPr>
      <w:r>
        <w:rPr>
          <w:rFonts w:hint="eastAsia" w:ascii="宋体" w:hAnsi="宋体"/>
          <w:color w:val="auto"/>
          <w:szCs w:val="21"/>
        </w:rPr>
        <w:t>4. 商务部分；</w:t>
      </w:r>
    </w:p>
    <w:p>
      <w:pPr>
        <w:autoSpaceDE w:val="0"/>
        <w:autoSpaceDN w:val="0"/>
        <w:adjustRightInd w:val="0"/>
        <w:spacing w:line="300" w:lineRule="auto"/>
        <w:ind w:right="32" w:firstLine="472" w:firstLineChars="225"/>
        <w:rPr>
          <w:rFonts w:ascii="宋体" w:hAnsi="宋体"/>
          <w:color w:val="auto"/>
          <w:szCs w:val="21"/>
        </w:rPr>
      </w:pPr>
      <w:r>
        <w:rPr>
          <w:rFonts w:hint="eastAsia" w:ascii="宋体" w:hAnsi="宋体"/>
          <w:color w:val="auto"/>
          <w:szCs w:val="21"/>
        </w:rPr>
        <w:t>5. 技术部分；</w:t>
      </w:r>
    </w:p>
    <w:p>
      <w:pPr>
        <w:autoSpaceDE w:val="0"/>
        <w:autoSpaceDN w:val="0"/>
        <w:adjustRightInd w:val="0"/>
        <w:spacing w:line="300" w:lineRule="auto"/>
        <w:ind w:right="246" w:firstLine="472" w:firstLineChars="225"/>
        <w:rPr>
          <w:rFonts w:ascii="宋体" w:hAnsi="宋体"/>
          <w:color w:val="auto"/>
          <w:szCs w:val="21"/>
        </w:rPr>
      </w:pPr>
      <w:r>
        <w:rPr>
          <w:rFonts w:hint="eastAsia" w:ascii="宋体" w:hAnsi="宋体"/>
          <w:color w:val="auto"/>
          <w:szCs w:val="21"/>
        </w:rPr>
        <w:t>6. 其他部分。</w:t>
      </w:r>
    </w:p>
    <w:p>
      <w:pPr>
        <w:autoSpaceDE w:val="0"/>
        <w:autoSpaceDN w:val="0"/>
        <w:adjustRightInd w:val="0"/>
        <w:spacing w:line="300" w:lineRule="auto"/>
        <w:ind w:right="246" w:firstLine="472" w:firstLineChars="225"/>
        <w:rPr>
          <w:rFonts w:ascii="宋体" w:hAnsi="宋体"/>
          <w:color w:val="auto"/>
          <w:szCs w:val="21"/>
        </w:rPr>
      </w:pPr>
      <w:r>
        <w:rPr>
          <w:rFonts w:hint="eastAsia" w:ascii="宋体" w:hAnsi="宋体"/>
          <w:color w:val="auto"/>
          <w:szCs w:val="21"/>
        </w:rPr>
        <w:t>在此，我方声明如下：</w:t>
      </w:r>
    </w:p>
    <w:p>
      <w:pPr>
        <w:spacing w:line="360" w:lineRule="auto"/>
        <w:ind w:firstLine="472" w:firstLineChars="225"/>
        <w:rPr>
          <w:rFonts w:ascii="宋体" w:hAnsi="宋体"/>
          <w:color w:val="auto"/>
          <w:szCs w:val="21"/>
        </w:rPr>
      </w:pPr>
      <w:r>
        <w:rPr>
          <w:rFonts w:hint="eastAsia" w:ascii="宋体" w:hAnsi="宋体"/>
          <w:color w:val="auto"/>
          <w:szCs w:val="21"/>
        </w:rPr>
        <w:t>1.</w:t>
      </w:r>
      <w:r>
        <w:rPr>
          <w:rFonts w:hint="eastAsia"/>
          <w:color w:val="auto"/>
          <w:szCs w:val="21"/>
        </w:rPr>
        <w:t xml:space="preserve"> 同意并接受招标文件的各项要求，遵守招标文件中的各项规定，按招</w:t>
      </w:r>
      <w:r>
        <w:rPr>
          <w:rFonts w:hint="eastAsia" w:ascii="宋体" w:hAnsi="宋体"/>
          <w:color w:val="auto"/>
          <w:szCs w:val="21"/>
        </w:rPr>
        <w:t>标文件的要求提供报价。</w:t>
      </w:r>
    </w:p>
    <w:p>
      <w:pPr>
        <w:spacing w:line="360" w:lineRule="auto"/>
        <w:ind w:firstLine="472" w:firstLineChars="225"/>
        <w:rPr>
          <w:rFonts w:ascii="宋体" w:hAnsi="宋体"/>
          <w:color w:val="auto"/>
          <w:szCs w:val="21"/>
        </w:rPr>
      </w:pPr>
      <w:r>
        <w:rPr>
          <w:rFonts w:hint="eastAsia" w:ascii="宋体" w:hAnsi="宋体"/>
          <w:color w:val="auto"/>
          <w:szCs w:val="21"/>
        </w:rPr>
        <w:t>2.全部服务的投标总价为</w:t>
      </w:r>
      <w:r>
        <w:rPr>
          <w:rFonts w:hint="eastAsia" w:ascii="宋体" w:hAnsi="宋体"/>
          <w:color w:val="auto"/>
          <w:szCs w:val="21"/>
          <w:u w:val="single"/>
        </w:rPr>
        <w:t xml:space="preserve">            </w:t>
      </w:r>
      <w:r>
        <w:rPr>
          <w:rFonts w:hint="eastAsia" w:ascii="宋体" w:hAnsi="宋体"/>
          <w:color w:val="auto"/>
          <w:szCs w:val="21"/>
        </w:rPr>
        <w:t>（详见投标报价表）</w:t>
      </w:r>
    </w:p>
    <w:p>
      <w:pPr>
        <w:spacing w:line="360" w:lineRule="auto"/>
        <w:ind w:firstLine="472" w:firstLineChars="225"/>
        <w:rPr>
          <w:rFonts w:ascii="宋体" w:hAnsi="宋体"/>
          <w:color w:val="auto"/>
          <w:szCs w:val="21"/>
        </w:rPr>
      </w:pPr>
      <w:r>
        <w:rPr>
          <w:rFonts w:hint="eastAsia" w:ascii="宋体" w:hAnsi="宋体"/>
          <w:color w:val="auto"/>
          <w:szCs w:val="21"/>
        </w:rPr>
        <w:t>3.投标有效期为</w:t>
      </w:r>
      <w:r>
        <w:rPr>
          <w:rFonts w:hint="eastAsia"/>
          <w:color w:val="auto"/>
        </w:rPr>
        <w:t>投标截止日</w:t>
      </w:r>
      <w:r>
        <w:rPr>
          <w:rFonts w:hint="eastAsia"/>
          <w:color w:val="auto"/>
          <w:szCs w:val="21"/>
        </w:rPr>
        <w:t>起</w:t>
      </w:r>
      <w:r>
        <w:rPr>
          <w:rFonts w:hint="eastAsia" w:ascii="宋体" w:hAnsi="宋体"/>
          <w:color w:val="auto"/>
          <w:szCs w:val="21"/>
          <w:u w:val="single"/>
        </w:rPr>
        <w:t xml:space="preserve">     </w:t>
      </w:r>
      <w:r>
        <w:rPr>
          <w:rFonts w:hint="eastAsia" w:ascii="宋体" w:hAnsi="宋体"/>
          <w:color w:val="auto"/>
          <w:szCs w:val="21"/>
        </w:rPr>
        <w:t>天，中标人投标有效期延至合同验收之日。</w:t>
      </w:r>
    </w:p>
    <w:p>
      <w:pPr>
        <w:spacing w:line="360" w:lineRule="auto"/>
        <w:ind w:firstLine="472" w:firstLineChars="225"/>
        <w:rPr>
          <w:rFonts w:ascii="宋体" w:hAnsi="宋体"/>
          <w:color w:val="auto"/>
          <w:szCs w:val="21"/>
        </w:rPr>
      </w:pPr>
      <w:r>
        <w:rPr>
          <w:rFonts w:hint="eastAsia" w:ascii="宋体" w:hAnsi="宋体"/>
          <w:color w:val="auto"/>
          <w:szCs w:val="21"/>
        </w:rPr>
        <w:t>4.</w:t>
      </w:r>
      <w:r>
        <w:rPr>
          <w:rFonts w:hint="eastAsia"/>
          <w:color w:val="auto"/>
          <w:szCs w:val="21"/>
        </w:rPr>
        <w:t>我方已经详细地阅读了全部招标文件及其附件</w:t>
      </w:r>
      <w:r>
        <w:rPr>
          <w:rFonts w:hint="eastAsia" w:ascii="宋体" w:hAnsi="宋体"/>
          <w:color w:val="auto"/>
          <w:szCs w:val="21"/>
        </w:rPr>
        <w:t>，</w:t>
      </w:r>
      <w:r>
        <w:rPr>
          <w:rFonts w:hint="eastAsia" w:ascii="宋体" w:hAnsi="宋体"/>
          <w:color w:val="auto"/>
        </w:rPr>
        <w:t>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r>
        <w:rPr>
          <w:rFonts w:hint="eastAsia" w:ascii="宋体" w:hAnsi="宋体"/>
          <w:color w:val="auto"/>
          <w:szCs w:val="21"/>
        </w:rPr>
        <w:t>。</w:t>
      </w:r>
    </w:p>
    <w:p>
      <w:pPr>
        <w:spacing w:line="360" w:lineRule="auto"/>
        <w:ind w:firstLine="472" w:firstLineChars="225"/>
        <w:rPr>
          <w:rFonts w:ascii="宋体" w:hAnsi="宋体"/>
          <w:color w:val="auto"/>
          <w:szCs w:val="21"/>
        </w:rPr>
      </w:pPr>
      <w:r>
        <w:rPr>
          <w:rFonts w:hint="eastAsia" w:ascii="宋体" w:hAnsi="宋体"/>
          <w:color w:val="auto"/>
          <w:szCs w:val="21"/>
        </w:rPr>
        <w:t>5.</w:t>
      </w:r>
      <w:r>
        <w:rPr>
          <w:rFonts w:hint="eastAsia" w:ascii="宋体" w:hAnsi="宋体"/>
          <w:color w:val="auto"/>
          <w:szCs w:val="21"/>
          <w:u w:val="single"/>
        </w:rPr>
        <w:t xml:space="preserve">      </w:t>
      </w:r>
      <w:r>
        <w:rPr>
          <w:rFonts w:hint="eastAsia" w:ascii="宋体" w:hAnsi="宋体"/>
          <w:i/>
          <w:color w:val="auto"/>
          <w:szCs w:val="21"/>
          <w:u w:val="single"/>
        </w:rPr>
        <w:t xml:space="preserve">(投标人名称)     </w:t>
      </w:r>
      <w:r>
        <w:rPr>
          <w:rFonts w:hint="eastAsia" w:ascii="宋体" w:hAnsi="宋体"/>
          <w:color w:val="auto"/>
          <w:szCs w:val="21"/>
        </w:rPr>
        <w:t>作为投标人正式授权</w:t>
      </w:r>
      <w:r>
        <w:rPr>
          <w:rFonts w:hint="eastAsia" w:ascii="宋体" w:hAnsi="宋体"/>
          <w:color w:val="auto"/>
          <w:szCs w:val="21"/>
          <w:u w:val="single"/>
        </w:rPr>
        <w:t xml:space="preserve">     </w:t>
      </w:r>
      <w:r>
        <w:rPr>
          <w:rFonts w:hint="eastAsia" w:ascii="宋体" w:hAnsi="宋体"/>
          <w:i/>
          <w:color w:val="auto"/>
          <w:szCs w:val="21"/>
          <w:u w:val="single"/>
        </w:rPr>
        <w:t xml:space="preserve">(授权代表全名, 职务)       </w:t>
      </w:r>
      <w:r>
        <w:rPr>
          <w:rFonts w:hint="eastAsia" w:ascii="宋体" w:hAnsi="宋体"/>
          <w:color w:val="auto"/>
          <w:szCs w:val="21"/>
        </w:rPr>
        <w:t>代表我方全权处理有关本投标的一切事宜。</w:t>
      </w:r>
    </w:p>
    <w:p>
      <w:pPr>
        <w:spacing w:line="360" w:lineRule="auto"/>
        <w:ind w:firstLine="472" w:firstLineChars="225"/>
        <w:rPr>
          <w:rFonts w:ascii="宋体" w:hAnsi="宋体"/>
          <w:color w:val="auto"/>
          <w:szCs w:val="21"/>
        </w:rPr>
      </w:pPr>
      <w:r>
        <w:rPr>
          <w:rFonts w:hint="eastAsia" w:ascii="宋体" w:hAnsi="宋体"/>
          <w:color w:val="auto"/>
          <w:szCs w:val="21"/>
        </w:rPr>
        <w:t>6.我方已毫无保留地向贵方提供一切所需的证明材料。</w:t>
      </w:r>
    </w:p>
    <w:p>
      <w:pPr>
        <w:spacing w:line="360" w:lineRule="auto"/>
        <w:ind w:firstLine="472" w:firstLineChars="225"/>
        <w:rPr>
          <w:rFonts w:ascii="宋体" w:hAnsi="宋体"/>
          <w:color w:val="auto"/>
          <w:szCs w:val="21"/>
        </w:rPr>
      </w:pPr>
      <w:r>
        <w:rPr>
          <w:rFonts w:hint="eastAsia" w:ascii="宋体" w:hAnsi="宋体"/>
          <w:color w:val="auto"/>
          <w:szCs w:val="21"/>
        </w:rPr>
        <w:t>7.我方承诺在本次投标响应中提供的一切文件，无论是原件还是复印件均为真实和准确的，绝无任何虚假、伪造和夸大的成份，否则，愿承担相应的后果和法律责任。</w:t>
      </w:r>
    </w:p>
    <w:p>
      <w:pPr>
        <w:spacing w:line="360" w:lineRule="auto"/>
        <w:ind w:firstLine="472" w:firstLineChars="225"/>
        <w:rPr>
          <w:rFonts w:ascii="宋体" w:hAnsi="宋体"/>
          <w:color w:val="auto"/>
          <w:szCs w:val="21"/>
        </w:rPr>
      </w:pPr>
      <w:r>
        <w:rPr>
          <w:rFonts w:hint="eastAsia" w:ascii="宋体" w:hAnsi="宋体"/>
          <w:color w:val="auto"/>
          <w:szCs w:val="21"/>
        </w:rPr>
        <w:t>8.</w:t>
      </w:r>
      <w:r>
        <w:rPr>
          <w:rFonts w:hint="eastAsia" w:ascii="宋体" w:hAnsi="宋体"/>
          <w:color w:val="auto"/>
        </w:rPr>
        <w:t>我方明白并同意在规定的开标时间之后、投标有效期之内若撤回投标，投标保证金将被贵方没收</w:t>
      </w:r>
      <w:r>
        <w:rPr>
          <w:rFonts w:hint="eastAsia" w:ascii="宋体" w:hAnsi="宋体"/>
          <w:color w:val="auto"/>
          <w:lang w:val="en-US" w:eastAsia="zh-CN"/>
        </w:rPr>
        <w:t>.</w:t>
      </w:r>
    </w:p>
    <w:p>
      <w:pPr>
        <w:spacing w:line="360" w:lineRule="auto"/>
        <w:ind w:firstLine="472" w:firstLineChars="225"/>
        <w:rPr>
          <w:rFonts w:ascii="宋体" w:hAnsi="宋体"/>
          <w:color w:val="auto"/>
          <w:szCs w:val="21"/>
        </w:rPr>
      </w:pPr>
      <w:r>
        <w:rPr>
          <w:rFonts w:hint="eastAsia" w:ascii="宋体" w:hAnsi="宋体"/>
          <w:color w:val="auto"/>
          <w:szCs w:val="21"/>
        </w:rPr>
        <w:t>9.我方完全服从和尊重评委会所作的评定结果，同时清楚理解到报价最低并非意味着必定获得中标。</w:t>
      </w:r>
    </w:p>
    <w:p>
      <w:pPr>
        <w:spacing w:line="360" w:lineRule="auto"/>
        <w:ind w:firstLine="472" w:firstLineChars="225"/>
        <w:rPr>
          <w:rFonts w:ascii="宋体" w:hAnsi="宋体"/>
          <w:color w:val="auto"/>
          <w:szCs w:val="21"/>
        </w:rPr>
      </w:pPr>
      <w:r>
        <w:rPr>
          <w:rFonts w:hint="eastAsia" w:ascii="宋体" w:hAnsi="宋体"/>
          <w:color w:val="auto"/>
          <w:szCs w:val="21"/>
        </w:rPr>
        <w:t>10.</w:t>
      </w:r>
      <w:r>
        <w:rPr>
          <w:rFonts w:hint="eastAsia" w:ascii="宋体" w:hAnsi="宋体"/>
          <w:color w:val="auto"/>
        </w:rPr>
        <w:t>我方如果中标，将按照招标文件及其修改文件（如果有的话）的要求及我方投标承诺，按质、按量、按期履行全部合同责任和义务</w:t>
      </w:r>
    </w:p>
    <w:p>
      <w:pPr>
        <w:spacing w:line="360" w:lineRule="auto"/>
        <w:ind w:firstLine="472" w:firstLineChars="225"/>
        <w:rPr>
          <w:color w:val="auto"/>
          <w:szCs w:val="21"/>
        </w:rPr>
      </w:pPr>
      <w:r>
        <w:rPr>
          <w:rFonts w:hint="eastAsia" w:ascii="宋体" w:hAnsi="宋体"/>
          <w:color w:val="auto"/>
          <w:szCs w:val="21"/>
        </w:rPr>
        <w:t>11.我方同意按投</w:t>
      </w:r>
      <w:r>
        <w:rPr>
          <w:rFonts w:hint="eastAsia"/>
          <w:color w:val="auto"/>
          <w:szCs w:val="21"/>
        </w:rPr>
        <w:t>招标文件规定向政府采购代理机构缴纳</w:t>
      </w:r>
      <w:r>
        <w:rPr>
          <w:rFonts w:hint="eastAsia"/>
          <w:color w:val="auto"/>
          <w:szCs w:val="21"/>
          <w:lang w:val="en-GB"/>
        </w:rPr>
        <w:t>招标代理</w:t>
      </w:r>
      <w:r>
        <w:rPr>
          <w:rFonts w:hint="eastAsia"/>
          <w:color w:val="auto"/>
          <w:szCs w:val="21"/>
        </w:rPr>
        <w:t>服务费,</w:t>
      </w:r>
      <w:r>
        <w:rPr>
          <w:rFonts w:hint="eastAsia"/>
          <w:color w:val="auto"/>
        </w:rPr>
        <w:t xml:space="preserve"> 就本次招标应由我方交纳的招标代理服务费将按随附于本投标文件的承诺书支付</w:t>
      </w:r>
      <w:r>
        <w:rPr>
          <w:rFonts w:hint="eastAsia"/>
          <w:color w:val="auto"/>
          <w:szCs w:val="21"/>
        </w:rPr>
        <w:t>。</w:t>
      </w:r>
    </w:p>
    <w:p>
      <w:pPr>
        <w:autoSpaceDE w:val="0"/>
        <w:autoSpaceDN w:val="0"/>
        <w:adjustRightInd w:val="0"/>
        <w:spacing w:line="360" w:lineRule="auto"/>
        <w:ind w:right="246" w:firstLine="472" w:firstLineChars="225"/>
        <w:rPr>
          <w:color w:val="auto"/>
          <w:szCs w:val="21"/>
        </w:rPr>
      </w:pPr>
      <w:r>
        <w:rPr>
          <w:rFonts w:hint="eastAsia"/>
          <w:color w:val="auto"/>
          <w:szCs w:val="21"/>
        </w:rPr>
        <w:t>投标人：</w:t>
      </w:r>
      <w:r>
        <w:rPr>
          <w:rFonts w:hint="eastAsia"/>
          <w:color w:val="auto"/>
          <w:szCs w:val="21"/>
          <w:u w:val="single"/>
        </w:rPr>
        <w:t xml:space="preserve">                             </w:t>
      </w:r>
      <w:r>
        <w:rPr>
          <w:rFonts w:hint="eastAsia"/>
          <w:color w:val="auto"/>
          <w:szCs w:val="21"/>
        </w:rPr>
        <w:t xml:space="preserve"> </w:t>
      </w:r>
    </w:p>
    <w:p>
      <w:pPr>
        <w:autoSpaceDE w:val="0"/>
        <w:autoSpaceDN w:val="0"/>
        <w:adjustRightInd w:val="0"/>
        <w:spacing w:line="360" w:lineRule="auto"/>
        <w:ind w:right="246" w:firstLine="472" w:firstLineChars="225"/>
        <w:rPr>
          <w:color w:val="auto"/>
          <w:szCs w:val="21"/>
        </w:rPr>
      </w:pPr>
      <w:r>
        <w:rPr>
          <w:rFonts w:hint="eastAsia"/>
          <w:color w:val="auto"/>
          <w:szCs w:val="21"/>
        </w:rPr>
        <w:t>地址：</w:t>
      </w:r>
      <w:r>
        <w:rPr>
          <w:rFonts w:hint="eastAsia"/>
          <w:color w:val="auto"/>
          <w:szCs w:val="21"/>
          <w:u w:val="single"/>
        </w:rPr>
        <w:t xml:space="preserve">                               </w:t>
      </w:r>
      <w:r>
        <w:rPr>
          <w:rFonts w:hint="eastAsia"/>
          <w:color w:val="auto"/>
          <w:szCs w:val="21"/>
        </w:rPr>
        <w:t xml:space="preserve">    </w:t>
      </w:r>
    </w:p>
    <w:p>
      <w:pPr>
        <w:autoSpaceDE w:val="0"/>
        <w:autoSpaceDN w:val="0"/>
        <w:adjustRightInd w:val="0"/>
        <w:spacing w:line="360" w:lineRule="auto"/>
        <w:ind w:right="246" w:firstLine="472" w:firstLineChars="225"/>
        <w:rPr>
          <w:color w:val="auto"/>
          <w:szCs w:val="21"/>
          <w:u w:val="single"/>
        </w:rPr>
      </w:pPr>
      <w:r>
        <w:rPr>
          <w:rFonts w:hint="eastAsia"/>
          <w:color w:val="auto"/>
          <w:szCs w:val="21"/>
        </w:rPr>
        <w:t>传真：</w:t>
      </w:r>
      <w:r>
        <w:rPr>
          <w:rFonts w:hint="eastAsia"/>
          <w:color w:val="auto"/>
          <w:szCs w:val="21"/>
          <w:u w:val="single"/>
        </w:rPr>
        <w:t xml:space="preserve">                               </w:t>
      </w:r>
    </w:p>
    <w:p>
      <w:pPr>
        <w:autoSpaceDE w:val="0"/>
        <w:autoSpaceDN w:val="0"/>
        <w:adjustRightInd w:val="0"/>
        <w:spacing w:line="360" w:lineRule="auto"/>
        <w:ind w:right="246" w:firstLine="472" w:firstLineChars="225"/>
        <w:rPr>
          <w:color w:val="auto"/>
          <w:szCs w:val="21"/>
        </w:rPr>
      </w:pPr>
      <w:r>
        <w:rPr>
          <w:rFonts w:hint="eastAsia"/>
          <w:color w:val="auto"/>
          <w:szCs w:val="21"/>
        </w:rPr>
        <w:t>电话：</w:t>
      </w:r>
      <w:r>
        <w:rPr>
          <w:rFonts w:hint="eastAsia"/>
          <w:color w:val="auto"/>
          <w:szCs w:val="21"/>
          <w:u w:val="single"/>
        </w:rPr>
        <w:t xml:space="preserve">                                </w:t>
      </w:r>
    </w:p>
    <w:p>
      <w:pPr>
        <w:autoSpaceDE w:val="0"/>
        <w:autoSpaceDN w:val="0"/>
        <w:adjustRightInd w:val="0"/>
        <w:spacing w:line="360" w:lineRule="auto"/>
        <w:ind w:right="246" w:firstLine="472" w:firstLineChars="225"/>
        <w:rPr>
          <w:color w:val="auto"/>
          <w:szCs w:val="21"/>
        </w:rPr>
      </w:pPr>
      <w:r>
        <w:rPr>
          <w:rFonts w:hint="eastAsia"/>
          <w:color w:val="auto"/>
          <w:szCs w:val="21"/>
        </w:rPr>
        <w:t>电子邮件：</w:t>
      </w:r>
      <w:r>
        <w:rPr>
          <w:rFonts w:hint="eastAsia"/>
          <w:color w:val="auto"/>
          <w:szCs w:val="21"/>
          <w:u w:val="single"/>
        </w:rPr>
        <w:t xml:space="preserve">                           </w:t>
      </w:r>
    </w:p>
    <w:p>
      <w:pPr>
        <w:adjustRightInd w:val="0"/>
        <w:snapToGrid w:val="0"/>
        <w:spacing w:line="360" w:lineRule="auto"/>
        <w:ind w:firstLine="472" w:firstLineChars="225"/>
        <w:rPr>
          <w:color w:val="auto"/>
          <w:szCs w:val="21"/>
          <w:u w:val="single"/>
        </w:rPr>
      </w:pPr>
      <w:r>
        <w:rPr>
          <w:rFonts w:hint="eastAsia"/>
          <w:color w:val="auto"/>
          <w:szCs w:val="21"/>
        </w:rPr>
        <w:t>投标人（法定代表人授权代表）代表签字：</w:t>
      </w:r>
      <w:r>
        <w:rPr>
          <w:rFonts w:hint="eastAsia"/>
          <w:color w:val="auto"/>
          <w:szCs w:val="21"/>
          <w:u w:val="single"/>
        </w:rPr>
        <w:t xml:space="preserve">             </w:t>
      </w:r>
    </w:p>
    <w:p>
      <w:pPr>
        <w:adjustRightInd w:val="0"/>
        <w:snapToGrid w:val="0"/>
        <w:spacing w:line="360" w:lineRule="auto"/>
        <w:ind w:firstLine="472" w:firstLineChars="225"/>
        <w:rPr>
          <w:color w:val="auto"/>
          <w:szCs w:val="21"/>
          <w:u w:val="single"/>
        </w:rPr>
      </w:pPr>
      <w:r>
        <w:rPr>
          <w:rFonts w:hint="eastAsia"/>
          <w:color w:val="auto"/>
          <w:szCs w:val="21"/>
        </w:rPr>
        <w:t xml:space="preserve">投标人名称(公章)： </w:t>
      </w:r>
      <w:r>
        <w:rPr>
          <w:rFonts w:hint="eastAsia"/>
          <w:color w:val="auto"/>
          <w:szCs w:val="21"/>
          <w:u w:val="single"/>
        </w:rPr>
        <w:t xml:space="preserve">                  </w:t>
      </w:r>
    </w:p>
    <w:p>
      <w:pPr>
        <w:adjustRightInd w:val="0"/>
        <w:snapToGrid w:val="0"/>
        <w:spacing w:line="360" w:lineRule="auto"/>
        <w:ind w:firstLine="472" w:firstLineChars="225"/>
        <w:rPr>
          <w:color w:val="auto"/>
          <w:szCs w:val="21"/>
          <w:u w:val="single"/>
        </w:rPr>
      </w:pPr>
      <w:r>
        <w:rPr>
          <w:rFonts w:hint="eastAsia"/>
          <w:color w:val="auto"/>
          <w:szCs w:val="21"/>
        </w:rPr>
        <w:t>开户银行：</w:t>
      </w:r>
      <w:r>
        <w:rPr>
          <w:rFonts w:hint="eastAsia"/>
          <w:color w:val="auto"/>
          <w:szCs w:val="21"/>
          <w:u w:val="single"/>
        </w:rPr>
        <w:t xml:space="preserve">                           </w:t>
      </w:r>
    </w:p>
    <w:p>
      <w:pPr>
        <w:autoSpaceDE w:val="0"/>
        <w:autoSpaceDN w:val="0"/>
        <w:spacing w:line="360" w:lineRule="auto"/>
        <w:ind w:firstLine="472" w:firstLineChars="225"/>
        <w:rPr>
          <w:color w:val="auto"/>
          <w:szCs w:val="21"/>
        </w:rPr>
      </w:pPr>
      <w:r>
        <w:rPr>
          <w:rFonts w:hint="eastAsia"/>
          <w:color w:val="auto"/>
          <w:szCs w:val="21"/>
        </w:rPr>
        <w:t>账号：</w:t>
      </w:r>
      <w:r>
        <w:rPr>
          <w:rFonts w:hint="eastAsia"/>
          <w:color w:val="auto"/>
          <w:szCs w:val="21"/>
          <w:u w:val="single"/>
        </w:rPr>
        <w:t xml:space="preserve">                               </w:t>
      </w:r>
    </w:p>
    <w:p>
      <w:pPr>
        <w:adjustRightInd w:val="0"/>
        <w:snapToGrid w:val="0"/>
        <w:spacing w:line="360" w:lineRule="auto"/>
        <w:ind w:firstLine="472" w:firstLineChars="225"/>
        <w:rPr>
          <w:color w:val="auto"/>
          <w:szCs w:val="21"/>
          <w:u w:val="single"/>
        </w:rPr>
      </w:pPr>
      <w:r>
        <w:rPr>
          <w:rFonts w:hint="eastAsia"/>
          <w:color w:val="auto"/>
          <w:szCs w:val="21"/>
        </w:rPr>
        <w:t>日期：</w:t>
      </w:r>
      <w:r>
        <w:rPr>
          <w:rFonts w:hint="eastAsia"/>
          <w:color w:val="auto"/>
          <w:szCs w:val="21"/>
          <w:u w:val="single"/>
        </w:rPr>
        <w:t xml:space="preserve">                               </w:t>
      </w:r>
    </w:p>
    <w:p>
      <w:pPr>
        <w:pStyle w:val="6"/>
        <w:ind w:left="0" w:firstLine="0"/>
        <w:rPr>
          <w:rFonts w:ascii="Times New Roman" w:hAnsi="Times New Roman" w:eastAsia="宋体"/>
          <w:color w:val="auto"/>
        </w:rPr>
      </w:pPr>
      <w:r>
        <w:rPr>
          <w:color w:val="auto"/>
          <w:szCs w:val="21"/>
          <w:u w:val="single"/>
        </w:rPr>
        <w:br w:type="page"/>
      </w:r>
      <w:r>
        <w:rPr>
          <w:rFonts w:hint="eastAsia" w:ascii="Times New Roman" w:hAnsi="Times New Roman" w:eastAsia="宋体"/>
          <w:color w:val="auto"/>
        </w:rPr>
        <w:t>3.2法定代表人证明书及授权委托书</w:t>
      </w:r>
    </w:p>
    <w:p>
      <w:pPr>
        <w:spacing w:line="480" w:lineRule="exact"/>
        <w:jc w:val="center"/>
        <w:rPr>
          <w:b/>
          <w:color w:val="auto"/>
          <w:sz w:val="28"/>
          <w:szCs w:val="28"/>
        </w:rPr>
      </w:pPr>
      <w:r>
        <w:rPr>
          <w:rFonts w:hint="eastAsia"/>
          <w:b/>
          <w:color w:val="auto"/>
          <w:sz w:val="28"/>
          <w:szCs w:val="28"/>
        </w:rPr>
        <w:t>（1）法定代表人证明书</w:t>
      </w:r>
    </w:p>
    <w:p>
      <w:pPr>
        <w:spacing w:line="480" w:lineRule="exact"/>
        <w:rPr>
          <w:color w:val="auto"/>
          <w:sz w:val="28"/>
          <w:szCs w:val="28"/>
        </w:rPr>
      </w:pPr>
    </w:p>
    <w:p>
      <w:pPr>
        <w:spacing w:line="360" w:lineRule="auto"/>
        <w:rPr>
          <w:color w:val="auto"/>
          <w:szCs w:val="21"/>
        </w:rPr>
      </w:pPr>
      <w:r>
        <w:rPr>
          <w:rFonts w:hint="eastAsia"/>
          <w:color w:val="auto"/>
          <w:szCs w:val="21"/>
        </w:rPr>
        <w:t>致：</w:t>
      </w:r>
      <w:r>
        <w:rPr>
          <w:rFonts w:hint="eastAsia" w:ascii="宋体" w:hAnsi="宋体" w:cs="宋体"/>
          <w:color w:val="auto"/>
          <w:szCs w:val="21"/>
          <w:u w:val="single"/>
        </w:rPr>
        <w:t>中华人民共和国中山海关</w:t>
      </w:r>
      <w:r>
        <w:rPr>
          <w:rFonts w:hint="eastAsia"/>
          <w:color w:val="auto"/>
          <w:szCs w:val="21"/>
          <w:u w:val="single"/>
        </w:rPr>
        <w:t>/</w:t>
      </w:r>
      <w:r>
        <w:rPr>
          <w:rFonts w:hint="eastAsia"/>
          <w:color w:val="auto"/>
          <w:szCs w:val="21"/>
          <w:u w:val="single"/>
          <w:lang w:eastAsia="zh-CN"/>
        </w:rPr>
        <w:t>广东华联建设投资管理股份有限公司中山分公司</w:t>
      </w:r>
      <w:r>
        <w:rPr>
          <w:rFonts w:hint="eastAsia"/>
          <w:color w:val="auto"/>
          <w:szCs w:val="21"/>
        </w:rPr>
        <w:t>：</w:t>
      </w:r>
    </w:p>
    <w:p>
      <w:pPr>
        <w:spacing w:line="360" w:lineRule="auto"/>
        <w:rPr>
          <w:color w:val="auto"/>
          <w:szCs w:val="21"/>
        </w:rPr>
      </w:pPr>
    </w:p>
    <w:p>
      <w:pPr>
        <w:spacing w:line="360" w:lineRule="auto"/>
        <w:rPr>
          <w:color w:val="auto"/>
          <w:szCs w:val="21"/>
        </w:rPr>
      </w:pPr>
      <w:r>
        <w:rPr>
          <w:rFonts w:hint="eastAsia"/>
          <w:color w:val="auto"/>
          <w:szCs w:val="21"/>
        </w:rPr>
        <w:t xml:space="preserve">     </w:t>
      </w:r>
      <w:r>
        <w:rPr>
          <w:rFonts w:hint="eastAsia"/>
          <w:color w:val="auto"/>
          <w:szCs w:val="21"/>
          <w:u w:val="single"/>
        </w:rPr>
        <w:t xml:space="preserve">          </w:t>
      </w:r>
      <w:r>
        <w:rPr>
          <w:rFonts w:hint="eastAsia"/>
          <w:color w:val="auto"/>
          <w:szCs w:val="21"/>
        </w:rPr>
        <w:t>同志，现任我单位</w:t>
      </w:r>
      <w:r>
        <w:rPr>
          <w:rFonts w:hint="eastAsia"/>
          <w:color w:val="auto"/>
          <w:szCs w:val="21"/>
          <w:u w:val="single"/>
        </w:rPr>
        <w:t xml:space="preserve">          </w:t>
      </w:r>
      <w:r>
        <w:rPr>
          <w:rFonts w:hint="eastAsia"/>
          <w:color w:val="auto"/>
          <w:szCs w:val="21"/>
        </w:rPr>
        <w:t>职务，为法定代表人，特此证明。</w:t>
      </w:r>
    </w:p>
    <w:p>
      <w:pPr>
        <w:spacing w:line="360" w:lineRule="auto"/>
        <w:ind w:firstLine="210" w:firstLineChars="100"/>
        <w:rPr>
          <w:color w:val="auto"/>
          <w:szCs w:val="21"/>
        </w:rPr>
      </w:pPr>
      <w:r>
        <w:rPr>
          <w:rFonts w:hint="eastAsia"/>
          <w:color w:val="auto"/>
          <w:szCs w:val="21"/>
        </w:rPr>
        <w:t>签发日期：           单位：           （盖章）</w:t>
      </w:r>
    </w:p>
    <w:p>
      <w:pPr>
        <w:spacing w:line="360" w:lineRule="auto"/>
        <w:ind w:firstLine="210" w:firstLineChars="100"/>
        <w:rPr>
          <w:color w:val="auto"/>
          <w:szCs w:val="21"/>
        </w:rPr>
      </w:pPr>
      <w:r>
        <w:rPr>
          <w:rFonts w:hint="eastAsia"/>
          <w:color w:val="auto"/>
          <w:szCs w:val="21"/>
        </w:rPr>
        <w:t>附：代表人性别：            年龄：           身份证号码：</w:t>
      </w:r>
    </w:p>
    <w:p>
      <w:pPr>
        <w:spacing w:line="360" w:lineRule="auto"/>
        <w:ind w:firstLine="210" w:firstLineChars="100"/>
        <w:rPr>
          <w:color w:val="auto"/>
          <w:szCs w:val="21"/>
        </w:rPr>
      </w:pPr>
      <w:r>
        <w:rPr>
          <w:rFonts w:hint="eastAsia"/>
          <w:color w:val="auto"/>
          <w:szCs w:val="21"/>
        </w:rPr>
        <w:t>联系电话：</w:t>
      </w:r>
    </w:p>
    <w:p>
      <w:pPr>
        <w:spacing w:line="360" w:lineRule="auto"/>
        <w:ind w:firstLine="210" w:firstLineChars="100"/>
        <w:rPr>
          <w:color w:val="auto"/>
          <w:szCs w:val="21"/>
        </w:rPr>
      </w:pPr>
      <w:r>
        <w:rPr>
          <w:rFonts w:hint="eastAsia"/>
          <w:color w:val="auto"/>
          <w:szCs w:val="21"/>
        </w:rPr>
        <w:t>营业执照号码：                       经济性质：</w:t>
      </w:r>
    </w:p>
    <w:p>
      <w:pPr>
        <w:spacing w:line="360" w:lineRule="auto"/>
        <w:rPr>
          <w:color w:val="auto"/>
          <w:szCs w:val="21"/>
        </w:rPr>
      </w:pPr>
      <w:r>
        <w:rPr>
          <w:rFonts w:hint="eastAsia"/>
          <w:color w:val="auto"/>
          <w:szCs w:val="21"/>
        </w:rPr>
        <w:t>说明：1.法定代表人为企业事业单位、国家机关、社会团体的主要行政负责人。</w:t>
      </w:r>
    </w:p>
    <w:p>
      <w:pPr>
        <w:spacing w:line="360" w:lineRule="auto"/>
        <w:rPr>
          <w:color w:val="auto"/>
          <w:szCs w:val="21"/>
        </w:rPr>
      </w:pPr>
      <w:r>
        <w:rPr>
          <w:rFonts w:hint="eastAsia"/>
          <w:color w:val="auto"/>
          <w:szCs w:val="21"/>
        </w:rPr>
        <w:t xml:space="preserve">      2.内容必须填写真实、清楚、涂改无效，不得转让、买卖。</w:t>
      </w:r>
    </w:p>
    <w:p>
      <w:pPr>
        <w:spacing w:line="360" w:lineRule="auto"/>
        <w:ind w:firstLine="630" w:firstLineChars="300"/>
        <w:rPr>
          <w:color w:val="auto"/>
          <w:szCs w:val="21"/>
        </w:rPr>
      </w:pPr>
      <w:r>
        <w:rPr>
          <w:rFonts w:hint="eastAsia"/>
          <w:color w:val="auto"/>
          <w:szCs w:val="21"/>
        </w:rPr>
        <w:t>3.将此证明书提交对方作为合同附件</w:t>
      </w:r>
      <w:r>
        <w:rPr>
          <w:rFonts w:hint="eastAsia"/>
          <w:b/>
          <w:color w:val="auto"/>
          <w:szCs w:val="21"/>
        </w:rPr>
        <w:t>。</w:t>
      </w: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b/>
          <w:color w:val="auto"/>
          <w:szCs w:val="21"/>
        </w:rPr>
      </w:pPr>
      <w:r>
        <w:rPr>
          <w:rFonts w:hint="eastAsia"/>
          <w:color w:val="auto"/>
          <w:szCs w:val="21"/>
        </w:rPr>
        <w:t xml:space="preserve"> </w:t>
      </w:r>
      <w:r>
        <w:rPr>
          <w:rFonts w:hint="eastAsia"/>
          <w:b/>
          <w:color w:val="auto"/>
          <w:szCs w:val="21"/>
        </w:rPr>
        <w:t xml:space="preserve"> (为避免废标，请投标人务必提供本附件)</w:t>
      </w:r>
    </w:p>
    <w:p>
      <w:pPr>
        <w:rPr>
          <w:b/>
          <w:color w:val="auto"/>
          <w:sz w:val="28"/>
          <w:szCs w:val="28"/>
        </w:rPr>
      </w:pPr>
    </w:p>
    <w:p>
      <w:pPr>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6"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自选图形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cr9rXAAAACQEAAA8AAAAAAAAAAQAgAAAAIgAAAGRycy9k&#10;b3ducmV2LnhtbFBLAQIUABQAAAAIAIdO4kAf2YNpAwIAAAU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p>
    <w:p>
      <w:pPr>
        <w:rPr>
          <w:b/>
          <w:color w:val="auto"/>
          <w:sz w:val="28"/>
          <w:szCs w:val="28"/>
        </w:rPr>
      </w:pPr>
    </w:p>
    <w:p>
      <w:pPr>
        <w:rPr>
          <w:b/>
          <w:color w:val="auto"/>
          <w:sz w:val="28"/>
          <w:szCs w:val="28"/>
        </w:rPr>
      </w:pPr>
    </w:p>
    <w:p>
      <w:pPr>
        <w:tabs>
          <w:tab w:val="left" w:pos="654"/>
          <w:tab w:val="left" w:pos="1734"/>
          <w:tab w:val="left" w:pos="2814"/>
          <w:tab w:val="left" w:pos="3894"/>
          <w:tab w:val="left" w:pos="5334"/>
          <w:tab w:val="left" w:pos="6414"/>
          <w:tab w:val="left" w:pos="7254"/>
          <w:tab w:val="left" w:pos="8574"/>
          <w:tab w:val="left" w:pos="9654"/>
        </w:tabs>
        <w:rPr>
          <w:color w:val="auto"/>
          <w:sz w:val="28"/>
          <w:szCs w:val="28"/>
        </w:rPr>
      </w:pPr>
    </w:p>
    <w:p>
      <w:pPr>
        <w:spacing w:line="480" w:lineRule="exact"/>
        <w:jc w:val="center"/>
        <w:rPr>
          <w:b/>
          <w:color w:val="auto"/>
          <w:sz w:val="28"/>
          <w:szCs w:val="28"/>
        </w:rPr>
      </w:pPr>
      <w:r>
        <w:rPr>
          <w:b/>
          <w:color w:val="auto"/>
          <w:sz w:val="28"/>
          <w:szCs w:val="28"/>
        </w:rPr>
        <w:br w:type="page"/>
      </w:r>
      <w:r>
        <w:rPr>
          <w:rFonts w:hint="eastAsia"/>
          <w:b/>
          <w:color w:val="auto"/>
          <w:sz w:val="28"/>
          <w:szCs w:val="28"/>
        </w:rPr>
        <w:t>（2）法定代表人授权委托书</w:t>
      </w:r>
    </w:p>
    <w:p>
      <w:pPr>
        <w:spacing w:line="360" w:lineRule="auto"/>
        <w:rPr>
          <w:color w:val="auto"/>
          <w:sz w:val="28"/>
          <w:szCs w:val="28"/>
        </w:rPr>
      </w:pPr>
    </w:p>
    <w:p>
      <w:pPr>
        <w:spacing w:line="360" w:lineRule="auto"/>
        <w:rPr>
          <w:color w:val="auto"/>
          <w:szCs w:val="21"/>
        </w:rPr>
      </w:pPr>
      <w:r>
        <w:rPr>
          <w:rFonts w:hint="eastAsia"/>
          <w:color w:val="auto"/>
          <w:szCs w:val="21"/>
        </w:rPr>
        <w:t>致：</w:t>
      </w:r>
      <w:r>
        <w:rPr>
          <w:rFonts w:hint="eastAsia" w:ascii="宋体" w:hAnsi="宋体" w:cs="宋体"/>
          <w:color w:val="auto"/>
          <w:szCs w:val="21"/>
          <w:u w:val="single"/>
        </w:rPr>
        <w:t>中华人民共和国中山海关</w:t>
      </w:r>
      <w:r>
        <w:rPr>
          <w:rFonts w:hint="eastAsia"/>
          <w:color w:val="auto"/>
          <w:szCs w:val="21"/>
          <w:u w:val="single"/>
        </w:rPr>
        <w:t>/</w:t>
      </w:r>
      <w:r>
        <w:rPr>
          <w:rFonts w:hint="eastAsia"/>
          <w:color w:val="auto"/>
          <w:szCs w:val="21"/>
          <w:u w:val="single"/>
          <w:lang w:eastAsia="zh-CN"/>
        </w:rPr>
        <w:t>广东华联建设投资管理股份有限公司中山分公司</w:t>
      </w:r>
      <w:r>
        <w:rPr>
          <w:rFonts w:hint="eastAsia"/>
          <w:color w:val="auto"/>
          <w:szCs w:val="21"/>
        </w:rPr>
        <w:t>：</w:t>
      </w:r>
    </w:p>
    <w:p>
      <w:pPr>
        <w:spacing w:line="360" w:lineRule="auto"/>
        <w:rPr>
          <w:color w:val="auto"/>
          <w:szCs w:val="21"/>
        </w:rPr>
      </w:pPr>
    </w:p>
    <w:p>
      <w:pPr>
        <w:spacing w:line="360" w:lineRule="auto"/>
        <w:ind w:firstLine="420" w:firstLineChars="200"/>
        <w:rPr>
          <w:color w:val="auto"/>
          <w:szCs w:val="21"/>
        </w:rPr>
      </w:pPr>
      <w:r>
        <w:rPr>
          <w:rFonts w:hint="eastAsia"/>
          <w:color w:val="auto"/>
          <w:szCs w:val="21"/>
        </w:rPr>
        <w:t>兹授权</w:t>
      </w:r>
      <w:r>
        <w:rPr>
          <w:rFonts w:hint="eastAsia"/>
          <w:color w:val="auto"/>
          <w:szCs w:val="21"/>
          <w:u w:val="single"/>
        </w:rPr>
        <w:t xml:space="preserve">             </w:t>
      </w:r>
      <w:r>
        <w:rPr>
          <w:rFonts w:hint="eastAsia"/>
          <w:color w:val="auto"/>
          <w:szCs w:val="21"/>
        </w:rPr>
        <w:t>同志，为我方签订经济合同及办理其他事务代理人，其权限是：</w:t>
      </w:r>
    </w:p>
    <w:p>
      <w:pPr>
        <w:spacing w:line="360" w:lineRule="auto"/>
        <w:rPr>
          <w:color w:val="auto"/>
          <w:szCs w:val="21"/>
        </w:rPr>
      </w:pPr>
      <w:r>
        <w:rPr>
          <w:rFonts w:hint="eastAsia"/>
          <w:color w:val="auto"/>
          <w:szCs w:val="21"/>
          <w:u w:val="single"/>
        </w:rPr>
        <w:t xml:space="preserve">                                                   </w:t>
      </w:r>
      <w:r>
        <w:rPr>
          <w:rFonts w:hint="eastAsia"/>
          <w:color w:val="auto"/>
          <w:szCs w:val="21"/>
        </w:rPr>
        <w:t>。</w:t>
      </w:r>
    </w:p>
    <w:p>
      <w:pPr>
        <w:spacing w:line="360" w:lineRule="auto"/>
        <w:rPr>
          <w:color w:val="auto"/>
          <w:szCs w:val="21"/>
        </w:rPr>
      </w:pPr>
      <w:r>
        <w:rPr>
          <w:rFonts w:hint="eastAsia"/>
          <w:color w:val="auto"/>
          <w:szCs w:val="21"/>
        </w:rPr>
        <w:t>授权单位：          （盖章）     法定代表人              （签名或盖私章）</w:t>
      </w:r>
    </w:p>
    <w:p>
      <w:pPr>
        <w:spacing w:line="360" w:lineRule="auto"/>
        <w:rPr>
          <w:color w:val="auto"/>
          <w:szCs w:val="21"/>
        </w:rPr>
      </w:pPr>
      <w:r>
        <w:rPr>
          <w:rFonts w:hint="eastAsia"/>
          <w:color w:val="auto"/>
          <w:szCs w:val="21"/>
        </w:rPr>
        <w:t>有效期限：至        年       月      日       签发日期：</w:t>
      </w:r>
    </w:p>
    <w:p>
      <w:pPr>
        <w:spacing w:line="360" w:lineRule="auto"/>
        <w:rPr>
          <w:color w:val="auto"/>
          <w:szCs w:val="21"/>
        </w:rPr>
      </w:pPr>
      <w:r>
        <w:rPr>
          <w:rFonts w:hint="eastAsia"/>
          <w:color w:val="auto"/>
          <w:szCs w:val="21"/>
        </w:rPr>
        <w:t>附：代理人性别：        年龄：       职务：         身份证号码：</w:t>
      </w:r>
    </w:p>
    <w:p>
      <w:pPr>
        <w:spacing w:line="360" w:lineRule="auto"/>
        <w:ind w:firstLine="472" w:firstLineChars="225"/>
        <w:rPr>
          <w:color w:val="auto"/>
          <w:szCs w:val="21"/>
        </w:rPr>
      </w:pPr>
      <w:r>
        <w:rPr>
          <w:rFonts w:hint="eastAsia"/>
          <w:color w:val="auto"/>
          <w:szCs w:val="21"/>
        </w:rPr>
        <w:t>联系电话：</w:t>
      </w:r>
    </w:p>
    <w:p>
      <w:pPr>
        <w:spacing w:line="360" w:lineRule="auto"/>
        <w:ind w:firstLine="472" w:firstLineChars="225"/>
        <w:rPr>
          <w:color w:val="auto"/>
          <w:szCs w:val="21"/>
        </w:rPr>
      </w:pPr>
      <w:r>
        <w:rPr>
          <w:rFonts w:hint="eastAsia"/>
          <w:color w:val="auto"/>
          <w:szCs w:val="21"/>
        </w:rPr>
        <w:t>营业执照号码：                         经济性质：</w:t>
      </w:r>
    </w:p>
    <w:p>
      <w:pPr>
        <w:spacing w:line="360" w:lineRule="auto"/>
        <w:rPr>
          <w:color w:val="auto"/>
          <w:szCs w:val="21"/>
        </w:rPr>
      </w:pPr>
      <w:r>
        <w:rPr>
          <w:rFonts w:hint="eastAsia"/>
          <w:color w:val="auto"/>
          <w:szCs w:val="21"/>
        </w:rPr>
        <w:t>说明：1.法定代表人为企业事业单位、国家机关、社会团体的主要行政负责人。</w:t>
      </w:r>
    </w:p>
    <w:p>
      <w:pPr>
        <w:spacing w:line="360" w:lineRule="auto"/>
        <w:rPr>
          <w:color w:val="auto"/>
          <w:szCs w:val="21"/>
        </w:rPr>
      </w:pPr>
      <w:r>
        <w:rPr>
          <w:rFonts w:hint="eastAsia"/>
          <w:color w:val="auto"/>
          <w:szCs w:val="21"/>
        </w:rPr>
        <w:t xml:space="preserve">      2.内容必须填写真实、清楚、涂改无效，不得转让、买卖。</w:t>
      </w:r>
    </w:p>
    <w:p>
      <w:pPr>
        <w:spacing w:line="360" w:lineRule="auto"/>
        <w:ind w:firstLine="630" w:firstLineChars="300"/>
        <w:rPr>
          <w:b/>
          <w:color w:val="auto"/>
          <w:szCs w:val="21"/>
        </w:rPr>
      </w:pPr>
      <w:r>
        <w:rPr>
          <w:rFonts w:hint="eastAsia"/>
          <w:color w:val="auto"/>
          <w:szCs w:val="21"/>
        </w:rPr>
        <w:t>3.将此证明书提交对方作为合同附件</w:t>
      </w:r>
      <w:r>
        <w:rPr>
          <w:rFonts w:hint="eastAsia"/>
          <w:b/>
          <w:color w:val="auto"/>
          <w:szCs w:val="21"/>
        </w:rPr>
        <w:t>。</w:t>
      </w:r>
    </w:p>
    <w:p>
      <w:pPr>
        <w:spacing w:line="360" w:lineRule="auto"/>
        <w:ind w:firstLine="630" w:firstLineChars="300"/>
        <w:rPr>
          <w:color w:val="auto"/>
          <w:szCs w:val="21"/>
        </w:rPr>
      </w:pPr>
      <w:r>
        <w:rPr>
          <w:rFonts w:hint="eastAsia"/>
          <w:color w:val="auto"/>
          <w:szCs w:val="21"/>
        </w:rPr>
        <w:t>4.授权权限：全权代表本公司参与上述采购项目的投标，负责提供与签署确认一切文书资料，以及向贵方递交的任何补充承诺。</w:t>
      </w:r>
    </w:p>
    <w:p>
      <w:pPr>
        <w:spacing w:line="360" w:lineRule="auto"/>
        <w:ind w:firstLine="644" w:firstLineChars="307"/>
        <w:rPr>
          <w:color w:val="auto"/>
          <w:szCs w:val="21"/>
        </w:rPr>
      </w:pPr>
      <w:r>
        <w:rPr>
          <w:rFonts w:hint="eastAsia"/>
          <w:color w:val="auto"/>
          <w:szCs w:val="21"/>
        </w:rPr>
        <w:t>5.有效期限：与本公司投标文件中标注的投标有效期相同，自本单位盖公章之日起生效。</w:t>
      </w:r>
    </w:p>
    <w:p>
      <w:pPr>
        <w:spacing w:line="360" w:lineRule="auto"/>
        <w:ind w:firstLine="644" w:firstLineChars="307"/>
        <w:rPr>
          <w:color w:val="auto"/>
          <w:szCs w:val="21"/>
        </w:rPr>
      </w:pPr>
      <w:r>
        <w:rPr>
          <w:rFonts w:hint="eastAsia"/>
          <w:color w:val="auto"/>
          <w:szCs w:val="21"/>
        </w:rPr>
        <w:t>6.投标签字代表为法定代表人，则本表不适用。</w:t>
      </w:r>
    </w:p>
    <w:p>
      <w:pPr>
        <w:spacing w:line="360" w:lineRule="auto"/>
        <w:ind w:firstLine="420"/>
        <w:rPr>
          <w:b/>
          <w:bCs/>
          <w:color w:val="auto"/>
          <w:sz w:val="28"/>
          <w:szCs w:val="28"/>
        </w:rPr>
      </w:pPr>
      <w:r>
        <w:rPr>
          <w:color w:val="auto"/>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7"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被授权代表身份证复印件</w:t>
                            </w:r>
                          </w:p>
                        </w:txbxContent>
                      </wps:txbx>
                      <wps:bodyPr upright="1"/>
                    </wps:wsp>
                  </a:graphicData>
                </a:graphic>
              </wp:anchor>
            </w:drawing>
          </mc:Choice>
          <mc:Fallback>
            <w:pict>
              <v:shape id="自选图形 3" o:spid="_x0000_s1026" o:spt="176" type="#_x0000_t176" style="position:absolute;left:0pt;margin-left:115.5pt;margin-top:2.6pt;height:124.75pt;width:183.75pt;z-index:251661312;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gH/61wAAAAkBAAAPAAAAAAAAAAEAIAAAACIAAABkcnMv&#10;ZG93bnJldi54bWxQSwECFAAUAAAACACHTuJAEPjK/wQCAAAFBAAADgAAAAAAAAABACAAAAAmAQAA&#10;ZHJzL2Uyb0RvYy54bWxQSwUGAAAAAAYABgBZAQAAn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被授权代表身份证复印件</w:t>
                      </w:r>
                    </w:p>
                  </w:txbxContent>
                </v:textbox>
              </v:shape>
            </w:pict>
          </mc:Fallback>
        </mc:AlternateContent>
      </w:r>
    </w:p>
    <w:p>
      <w:pPr>
        <w:spacing w:line="360" w:lineRule="auto"/>
        <w:rPr>
          <w:color w:val="auto"/>
          <w:szCs w:val="21"/>
        </w:rPr>
      </w:pPr>
      <w:r>
        <w:rPr>
          <w:b/>
          <w:bCs/>
          <w:color w:val="auto"/>
          <w:sz w:val="28"/>
          <w:szCs w:val="28"/>
        </w:rPr>
        <w:br w:type="page"/>
      </w:r>
      <w:r>
        <w:rPr>
          <w:rFonts w:hint="eastAsia"/>
          <w:b/>
          <w:color w:val="auto"/>
          <w:sz w:val="28"/>
          <w:szCs w:val="28"/>
        </w:rPr>
        <w:t xml:space="preserve"> 3.3 关于资格的声明函</w:t>
      </w:r>
    </w:p>
    <w:p>
      <w:pPr>
        <w:spacing w:line="360" w:lineRule="auto"/>
        <w:rPr>
          <w:color w:val="auto"/>
          <w:szCs w:val="21"/>
        </w:rPr>
      </w:pPr>
    </w:p>
    <w:p>
      <w:pPr>
        <w:spacing w:line="300" w:lineRule="auto"/>
        <w:jc w:val="center"/>
        <w:rPr>
          <w:b/>
          <w:color w:val="auto"/>
          <w:sz w:val="28"/>
          <w:szCs w:val="28"/>
        </w:rPr>
      </w:pPr>
      <w:r>
        <w:rPr>
          <w:rFonts w:hint="eastAsia"/>
          <w:b/>
          <w:color w:val="auto"/>
          <w:sz w:val="28"/>
          <w:szCs w:val="28"/>
        </w:rPr>
        <w:t>资格声明函</w:t>
      </w:r>
    </w:p>
    <w:p>
      <w:pPr>
        <w:spacing w:line="360" w:lineRule="auto"/>
        <w:rPr>
          <w:color w:val="auto"/>
          <w:szCs w:val="21"/>
        </w:rPr>
      </w:pPr>
    </w:p>
    <w:p>
      <w:pPr>
        <w:spacing w:line="360" w:lineRule="auto"/>
        <w:rPr>
          <w:rFonts w:hint="eastAsia" w:eastAsia="宋体"/>
          <w:color w:val="auto"/>
          <w:szCs w:val="21"/>
          <w:lang w:eastAsia="zh-CN"/>
        </w:rPr>
      </w:pPr>
      <w:r>
        <w:rPr>
          <w:rFonts w:hint="eastAsia"/>
          <w:color w:val="auto"/>
          <w:szCs w:val="21"/>
        </w:rPr>
        <w:t>致：</w:t>
      </w:r>
      <w:r>
        <w:rPr>
          <w:rFonts w:hint="eastAsia" w:ascii="宋体" w:hAnsi="宋体" w:cs="宋体"/>
          <w:color w:val="auto"/>
          <w:szCs w:val="21"/>
          <w:u w:val="single"/>
        </w:rPr>
        <w:t>中华人民共和国中山海关</w:t>
      </w:r>
      <w:r>
        <w:rPr>
          <w:color w:val="auto"/>
          <w:szCs w:val="21"/>
          <w:u w:val="single"/>
        </w:rPr>
        <w:t>/</w:t>
      </w:r>
      <w:r>
        <w:rPr>
          <w:rFonts w:hint="eastAsia"/>
          <w:color w:val="auto"/>
          <w:szCs w:val="21"/>
          <w:u w:val="single"/>
          <w:lang w:eastAsia="zh-CN"/>
        </w:rPr>
        <w:t>广东华联建设投资管理股份有限公司中山分公司</w:t>
      </w:r>
    </w:p>
    <w:p>
      <w:pPr>
        <w:spacing w:line="360" w:lineRule="auto"/>
        <w:ind w:firstLine="435"/>
        <w:rPr>
          <w:color w:val="auto"/>
          <w:szCs w:val="21"/>
        </w:rPr>
      </w:pPr>
      <w:r>
        <w:rPr>
          <w:rFonts w:hint="eastAsia"/>
          <w:color w:val="auto"/>
          <w:szCs w:val="21"/>
        </w:rPr>
        <w:t>关于贵方采购项目名称:____________采购项目编号：</w:t>
      </w:r>
      <w:r>
        <w:rPr>
          <w:rFonts w:hint="eastAsia"/>
          <w:color w:val="auto"/>
          <w:szCs w:val="21"/>
          <w:u w:val="single"/>
        </w:rPr>
        <w:t xml:space="preserve">        </w:t>
      </w:r>
      <w:r>
        <w:rPr>
          <w:rFonts w:hint="eastAsia"/>
          <w:color w:val="auto"/>
          <w:szCs w:val="21"/>
        </w:rPr>
        <w:t xml:space="preserve">   投标邀请，本签字人愿意参加投标响应，提供投标文件中规定的服务，并证明提交的下列文件和说明是准确的和真实的。</w:t>
      </w:r>
    </w:p>
    <w:p>
      <w:pPr>
        <w:spacing w:line="360" w:lineRule="auto"/>
        <w:ind w:firstLine="435"/>
        <w:rPr>
          <w:rFonts w:ascii="宋体" w:hAnsi="宋体"/>
          <w:color w:val="auto"/>
          <w:szCs w:val="21"/>
        </w:rPr>
      </w:pPr>
      <w:r>
        <w:rPr>
          <w:rFonts w:hint="eastAsia" w:ascii="宋体" w:hAnsi="宋体"/>
          <w:color w:val="auto"/>
          <w:szCs w:val="21"/>
        </w:rPr>
        <w:t>1.我方为本次投标所提交的所有证明其合格和资格的文件是真实的和正确的，并愿为其真实性和正确性承担法律责任；</w:t>
      </w:r>
    </w:p>
    <w:p>
      <w:pPr>
        <w:spacing w:line="360" w:lineRule="auto"/>
        <w:ind w:firstLine="435"/>
        <w:rPr>
          <w:rFonts w:ascii="宋体" w:hAnsi="宋体"/>
          <w:color w:val="auto"/>
          <w:szCs w:val="21"/>
        </w:rPr>
      </w:pPr>
      <w:r>
        <w:rPr>
          <w:rFonts w:hint="eastAsia" w:ascii="宋体" w:hAnsi="宋体"/>
          <w:color w:val="auto"/>
          <w:szCs w:val="21"/>
        </w:rPr>
        <w:t>2.我方是依法注册的法人，在法律上、财务上和运作上完全独立于</w:t>
      </w:r>
      <w:r>
        <w:rPr>
          <w:rFonts w:hint="eastAsia" w:ascii="宋体" w:hAnsi="宋体"/>
          <w:color w:val="auto"/>
          <w:szCs w:val="21"/>
          <w:u w:val="single"/>
        </w:rPr>
        <w:t>（采购人名称）</w:t>
      </w:r>
      <w:r>
        <w:rPr>
          <w:rFonts w:hint="eastAsia" w:ascii="宋体" w:hAnsi="宋体"/>
          <w:color w:val="auto"/>
          <w:szCs w:val="21"/>
        </w:rPr>
        <w:t>（采购人）及</w:t>
      </w:r>
      <w:r>
        <w:rPr>
          <w:rFonts w:hint="eastAsia" w:ascii="宋体" w:hAnsi="宋体"/>
          <w:color w:val="auto"/>
          <w:szCs w:val="21"/>
          <w:lang w:eastAsia="zh-CN"/>
        </w:rPr>
        <w:t>广东华联建设投资管理股份有限公司中山分公司</w:t>
      </w:r>
      <w:r>
        <w:rPr>
          <w:rFonts w:hint="eastAsia" w:ascii="宋体" w:hAnsi="宋体"/>
          <w:color w:val="auto"/>
          <w:szCs w:val="21"/>
        </w:rPr>
        <w:t>（采购代理机构）；</w:t>
      </w:r>
    </w:p>
    <w:p>
      <w:pPr>
        <w:spacing w:line="360" w:lineRule="auto"/>
        <w:ind w:firstLine="435"/>
        <w:rPr>
          <w:rFonts w:ascii="宋体" w:hAnsi="宋体"/>
          <w:color w:val="auto"/>
          <w:szCs w:val="21"/>
        </w:rPr>
      </w:pPr>
      <w:r>
        <w:rPr>
          <w:rFonts w:hint="eastAsia" w:ascii="宋体" w:hAnsi="宋体"/>
          <w:color w:val="auto"/>
          <w:szCs w:val="21"/>
        </w:rPr>
        <w:t>3.我方在参加本次投标前 三 年内，在经营活动中没有重大违法记录；</w:t>
      </w:r>
    </w:p>
    <w:p>
      <w:pPr>
        <w:tabs>
          <w:tab w:val="left" w:pos="960"/>
        </w:tabs>
        <w:spacing w:line="360" w:lineRule="auto"/>
        <w:ind w:firstLine="435"/>
        <w:rPr>
          <w:rFonts w:ascii="宋体" w:hAnsi="宋体"/>
          <w:color w:val="auto"/>
          <w:szCs w:val="21"/>
        </w:rPr>
      </w:pPr>
      <w:r>
        <w:rPr>
          <w:rFonts w:hint="eastAsia" w:ascii="宋体" w:hAnsi="宋体"/>
          <w:color w:val="auto"/>
          <w:szCs w:val="21"/>
        </w:rPr>
        <w:t>4.</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5.</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5"/>
        <w:rPr>
          <w:rFonts w:ascii="宋体" w:hAnsi="宋体"/>
          <w:color w:val="auto"/>
          <w:szCs w:val="21"/>
        </w:rPr>
      </w:pPr>
    </w:p>
    <w:p>
      <w:pPr>
        <w:spacing w:line="360" w:lineRule="auto"/>
        <w:ind w:firstLine="435"/>
        <w:rPr>
          <w:rFonts w:ascii="宋体" w:hAnsi="宋体"/>
          <w:color w:val="auto"/>
          <w:szCs w:val="21"/>
        </w:rPr>
      </w:pPr>
      <w:r>
        <w:rPr>
          <w:rFonts w:hint="eastAsia" w:ascii="宋体" w:hAnsi="宋体"/>
          <w:color w:val="auto"/>
          <w:szCs w:val="21"/>
        </w:rPr>
        <w:t>附相关文件如下：</w:t>
      </w:r>
    </w:p>
    <w:p>
      <w:pPr>
        <w:numPr>
          <w:ilvl w:val="0"/>
          <w:numId w:val="13"/>
        </w:numPr>
        <w:autoSpaceDE w:val="0"/>
        <w:autoSpaceDN w:val="0"/>
        <w:adjustRightInd w:val="0"/>
        <w:spacing w:line="360" w:lineRule="auto"/>
        <w:ind w:left="510"/>
        <w:textAlignment w:val="baseline"/>
        <w:rPr>
          <w:rFonts w:hint="eastAsia" w:ascii="宋体" w:hAnsi="宋体"/>
          <w:color w:val="auto"/>
          <w:szCs w:val="21"/>
          <w:lang w:eastAsia="zh-CN"/>
        </w:rPr>
      </w:pPr>
      <w:r>
        <w:rPr>
          <w:rFonts w:hint="eastAsia" w:ascii="宋体" w:hAnsi="宋体"/>
          <w:color w:val="auto"/>
          <w:szCs w:val="21"/>
        </w:rPr>
        <w:t>《企业法人营业执照》</w:t>
      </w:r>
      <w:r>
        <w:rPr>
          <w:rFonts w:hint="eastAsia" w:ascii="宋体" w:hAnsi="宋体"/>
          <w:color w:val="auto"/>
          <w:szCs w:val="21"/>
          <w:lang w:eastAsia="zh-CN"/>
        </w:rPr>
        <w:t>；</w:t>
      </w:r>
    </w:p>
    <w:p>
      <w:pPr>
        <w:numPr>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ii="宋体" w:hAnsi="宋体"/>
          <w:color w:val="auto"/>
          <w:szCs w:val="21"/>
        </w:rPr>
        <w:t>行政主管部门或行业协会对所招标服务的经营许可证（若有）复印件；</w:t>
      </w:r>
    </w:p>
    <w:p>
      <w:pPr>
        <w:autoSpaceDE w:val="0"/>
        <w:autoSpaceDN w:val="0"/>
        <w:adjustRightInd w:val="0"/>
        <w:spacing w:line="360" w:lineRule="auto"/>
        <w:ind w:left="510"/>
        <w:textAlignment w:val="baseline"/>
        <w:rPr>
          <w:color w:val="auto"/>
          <w:szCs w:val="21"/>
        </w:rPr>
      </w:pPr>
      <w:r>
        <w:rPr>
          <w:rFonts w:hint="eastAsia" w:ascii="宋体" w:hAnsi="宋体"/>
          <w:color w:val="auto"/>
          <w:szCs w:val="21"/>
          <w:lang w:val="en-US" w:eastAsia="zh-CN"/>
        </w:rPr>
        <w:t>3</w:t>
      </w:r>
      <w:r>
        <w:rPr>
          <w:rFonts w:ascii="宋体" w:hAnsi="宋体"/>
          <w:color w:val="auto"/>
          <w:szCs w:val="21"/>
        </w:rPr>
        <w:t>.</w:t>
      </w:r>
      <w:r>
        <w:rPr>
          <w:rFonts w:hint="eastAsia" w:ascii="宋体" w:hAnsi="宋体"/>
          <w:color w:val="auto"/>
          <w:szCs w:val="21"/>
        </w:rPr>
        <w:t xml:space="preserve"> 投</w:t>
      </w:r>
      <w:r>
        <w:rPr>
          <w:rFonts w:hint="eastAsia"/>
          <w:color w:val="auto"/>
          <w:szCs w:val="21"/>
        </w:rPr>
        <w:t>标人有关资质证书（若《投标须知》需有的话）复印件；</w:t>
      </w:r>
    </w:p>
    <w:p>
      <w:pPr>
        <w:autoSpaceDE w:val="0"/>
        <w:autoSpaceDN w:val="0"/>
        <w:adjustRightInd w:val="0"/>
        <w:spacing w:line="360" w:lineRule="auto"/>
        <w:ind w:left="510"/>
        <w:textAlignment w:val="baseline"/>
        <w:rPr>
          <w:color w:val="auto"/>
          <w:szCs w:val="21"/>
        </w:rPr>
      </w:pPr>
      <w:r>
        <w:rPr>
          <w:rFonts w:hint="eastAsia"/>
          <w:color w:val="auto"/>
          <w:szCs w:val="21"/>
          <w:lang w:val="en-US" w:eastAsia="zh-CN"/>
        </w:rPr>
        <w:t>4</w:t>
      </w:r>
      <w:r>
        <w:rPr>
          <w:rFonts w:hint="eastAsia"/>
          <w:color w:val="auto"/>
          <w:szCs w:val="21"/>
        </w:rPr>
        <w:t>.《技术评分表》和《商务评分表》要求的相关证明文件。</w:t>
      </w:r>
    </w:p>
    <w:p>
      <w:pPr>
        <w:autoSpaceDE w:val="0"/>
        <w:autoSpaceDN w:val="0"/>
        <w:adjustRightInd w:val="0"/>
        <w:spacing w:line="360" w:lineRule="auto"/>
        <w:ind w:left="510"/>
        <w:textAlignment w:val="baseline"/>
        <w:rPr>
          <w:color w:val="auto"/>
          <w:szCs w:val="21"/>
        </w:rPr>
      </w:pPr>
    </w:p>
    <w:p>
      <w:pPr>
        <w:autoSpaceDE w:val="0"/>
        <w:autoSpaceDN w:val="0"/>
        <w:adjustRightInd w:val="0"/>
        <w:spacing w:line="360" w:lineRule="auto"/>
        <w:textAlignment w:val="baseline"/>
        <w:rPr>
          <w:color w:val="auto"/>
          <w:szCs w:val="21"/>
        </w:rPr>
      </w:pPr>
    </w:p>
    <w:p>
      <w:pPr>
        <w:spacing w:line="360" w:lineRule="auto"/>
        <w:rPr>
          <w:color w:val="auto"/>
          <w:szCs w:val="21"/>
        </w:rPr>
      </w:pPr>
      <w:r>
        <w:rPr>
          <w:rFonts w:hint="eastAsia"/>
          <w:color w:val="auto"/>
          <w:szCs w:val="21"/>
        </w:rPr>
        <w:tab/>
      </w:r>
    </w:p>
    <w:p>
      <w:pPr>
        <w:tabs>
          <w:tab w:val="left" w:pos="840"/>
        </w:tabs>
        <w:spacing w:line="360" w:lineRule="auto"/>
        <w:rPr>
          <w:color w:val="auto"/>
          <w:szCs w:val="21"/>
        </w:rPr>
      </w:pPr>
    </w:p>
    <w:p>
      <w:pPr>
        <w:adjustRightInd w:val="0"/>
        <w:snapToGrid w:val="0"/>
        <w:spacing w:line="360" w:lineRule="auto"/>
        <w:rPr>
          <w:color w:val="auto"/>
          <w:szCs w:val="21"/>
        </w:rPr>
      </w:pPr>
      <w:r>
        <w:rPr>
          <w:rFonts w:hint="eastAsia"/>
          <w:color w:val="auto"/>
          <w:szCs w:val="21"/>
        </w:rPr>
        <w:t>投标人法定代表人（或法定代表人授权代表）签字：</w:t>
      </w:r>
      <w:r>
        <w:rPr>
          <w:rFonts w:hint="eastAsia"/>
          <w:color w:val="auto"/>
          <w:szCs w:val="21"/>
          <w:u w:val="single"/>
        </w:rPr>
        <w:t xml:space="preserve">                   </w:t>
      </w:r>
    </w:p>
    <w:p>
      <w:pPr>
        <w:adjustRightInd w:val="0"/>
        <w:snapToGrid w:val="0"/>
        <w:spacing w:line="360" w:lineRule="auto"/>
        <w:rPr>
          <w:color w:val="auto"/>
          <w:szCs w:val="21"/>
          <w:u w:val="single"/>
        </w:rPr>
      </w:pPr>
      <w:r>
        <w:rPr>
          <w:rFonts w:hint="eastAsia"/>
          <w:color w:val="auto"/>
          <w:szCs w:val="21"/>
        </w:rPr>
        <w:t>投标人名称（签章）：</w:t>
      </w:r>
      <w:r>
        <w:rPr>
          <w:rFonts w:hint="eastAsia"/>
          <w:color w:val="auto"/>
          <w:szCs w:val="21"/>
          <w:u w:val="single"/>
        </w:rPr>
        <w:t xml:space="preserve">                        </w:t>
      </w:r>
    </w:p>
    <w:p>
      <w:pPr>
        <w:adjustRightInd w:val="0"/>
        <w:snapToGrid w:val="0"/>
        <w:spacing w:line="360" w:lineRule="auto"/>
        <w:rPr>
          <w:color w:val="auto"/>
          <w:szCs w:val="21"/>
        </w:rPr>
      </w:pPr>
      <w:r>
        <w:rPr>
          <w:rFonts w:hint="eastAsia"/>
          <w:color w:val="auto"/>
          <w:szCs w:val="21"/>
        </w:rPr>
        <w:t>日期：</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 xml:space="preserve"> 月</w:t>
      </w:r>
      <w:r>
        <w:rPr>
          <w:rFonts w:hint="eastAsia"/>
          <w:color w:val="auto"/>
          <w:szCs w:val="21"/>
          <w:u w:val="single"/>
        </w:rPr>
        <w:t xml:space="preserve">    </w:t>
      </w:r>
      <w:r>
        <w:rPr>
          <w:rFonts w:hint="eastAsia"/>
          <w:color w:val="auto"/>
          <w:szCs w:val="21"/>
        </w:rPr>
        <w:t xml:space="preserve"> 日</w:t>
      </w:r>
    </w:p>
    <w:p>
      <w:pPr>
        <w:spacing w:line="300" w:lineRule="auto"/>
        <w:rPr>
          <w:b/>
          <w:color w:val="auto"/>
          <w:sz w:val="28"/>
          <w:szCs w:val="28"/>
        </w:rPr>
      </w:pPr>
      <w:r>
        <w:rPr>
          <w:b/>
          <w:color w:val="auto"/>
          <w:sz w:val="28"/>
          <w:szCs w:val="28"/>
        </w:rPr>
        <w:br w:type="page"/>
      </w:r>
      <w:r>
        <w:rPr>
          <w:rFonts w:hint="eastAsia"/>
          <w:b/>
          <w:color w:val="auto"/>
          <w:sz w:val="28"/>
          <w:szCs w:val="28"/>
        </w:rPr>
        <w:t xml:space="preserve"> 3.4 投标承诺书</w:t>
      </w:r>
    </w:p>
    <w:p>
      <w:pPr>
        <w:pStyle w:val="34"/>
        <w:rPr>
          <w:rFonts w:ascii="Times New Roman"/>
          <w:color w:val="auto"/>
          <w:sz w:val="28"/>
          <w:szCs w:val="28"/>
        </w:rPr>
      </w:pPr>
      <w:bookmarkStart w:id="16" w:name="_Toc202254112"/>
      <w:bookmarkStart w:id="17" w:name="_Toc202252041"/>
      <w:bookmarkStart w:id="18" w:name="_Toc202817004"/>
      <w:bookmarkStart w:id="19" w:name="_Toc202820359"/>
      <w:bookmarkStart w:id="20" w:name="_Toc202251081"/>
      <w:bookmarkStart w:id="21" w:name="_Toc202819886"/>
      <w:bookmarkStart w:id="22" w:name="_Toc202251706"/>
      <w:r>
        <w:rPr>
          <w:rFonts w:hint="eastAsia"/>
          <w:color w:val="auto"/>
          <w:sz w:val="28"/>
          <w:szCs w:val="28"/>
        </w:rPr>
        <w:t xml:space="preserve">投 标 </w:t>
      </w:r>
      <w:r>
        <w:rPr>
          <w:rFonts w:hint="eastAsia" w:ascii="Times New Roman"/>
          <w:color w:val="auto"/>
          <w:sz w:val="28"/>
          <w:szCs w:val="28"/>
        </w:rPr>
        <w:t>承 诺 书</w:t>
      </w:r>
    </w:p>
    <w:p>
      <w:pPr>
        <w:tabs>
          <w:tab w:val="left" w:pos="3960"/>
        </w:tabs>
        <w:spacing w:line="480" w:lineRule="exact"/>
        <w:rPr>
          <w:color w:val="auto"/>
        </w:rPr>
      </w:pPr>
      <w:r>
        <w:rPr>
          <w:color w:val="auto"/>
        </w:rPr>
        <w:tab/>
      </w:r>
    </w:p>
    <w:p>
      <w:pPr>
        <w:spacing w:afterLines="50" w:line="480" w:lineRule="exact"/>
        <w:rPr>
          <w:b/>
          <w:color w:val="auto"/>
          <w:szCs w:val="21"/>
          <w:u w:val="single"/>
        </w:rPr>
      </w:pPr>
      <w:r>
        <w:rPr>
          <w:rFonts w:hint="eastAsia"/>
          <w:b/>
          <w:color w:val="auto"/>
          <w:szCs w:val="21"/>
          <w:u w:val="single"/>
        </w:rPr>
        <w:t>中华人民共和国中山海关：</w:t>
      </w:r>
    </w:p>
    <w:p>
      <w:pPr>
        <w:spacing w:line="300" w:lineRule="auto"/>
        <w:ind w:firstLine="420" w:firstLineChars="200"/>
        <w:rPr>
          <w:rFonts w:ascii="宋体" w:hAnsi="宋体"/>
          <w:color w:val="auto"/>
        </w:rPr>
      </w:pPr>
      <w:r>
        <w:rPr>
          <w:rFonts w:hint="eastAsia" w:ascii="宋体" w:hAnsi="宋体"/>
          <w:color w:val="auto"/>
        </w:rPr>
        <w:t>本投标人已详细阅读了</w:t>
      </w:r>
      <w:r>
        <w:rPr>
          <w:rFonts w:hint="eastAsia" w:ascii="宋体" w:hAnsi="宋体"/>
          <w:color w:val="auto"/>
          <w:u w:val="single"/>
        </w:rPr>
        <w:t xml:space="preserve">  （项目名称）  </w:t>
      </w:r>
      <w:r>
        <w:rPr>
          <w:rFonts w:hint="eastAsia" w:ascii="宋体" w:hAnsi="宋体"/>
          <w:color w:val="auto"/>
        </w:rPr>
        <w:t>招标文件，自愿参加上述项目投标，现就有关事项向招标人郑重承诺如下：</w:t>
      </w:r>
    </w:p>
    <w:p>
      <w:pPr>
        <w:spacing w:line="300" w:lineRule="auto"/>
        <w:ind w:firstLine="420" w:firstLineChars="200"/>
        <w:rPr>
          <w:rFonts w:ascii="宋体" w:hAnsi="宋体"/>
          <w:color w:val="auto"/>
        </w:rPr>
      </w:pPr>
      <w:r>
        <w:rPr>
          <w:rFonts w:hint="eastAsia" w:ascii="宋体" w:hAnsi="宋体"/>
          <w:color w:val="auto"/>
        </w:rPr>
        <w:t>1.本投标人自愿在招标文件规定的时限内按照招标文件及采购合同、用户需求书、技术规范等要求完成采购任务，按时完成并验收合格。服务质量按照投标文件的承诺并满足招标文件要求。</w:t>
      </w:r>
    </w:p>
    <w:p>
      <w:pPr>
        <w:spacing w:line="300" w:lineRule="auto"/>
        <w:ind w:firstLine="420" w:firstLineChars="200"/>
        <w:rPr>
          <w:rFonts w:ascii="宋体" w:hAnsi="宋体"/>
          <w:color w:val="auto"/>
        </w:rPr>
      </w:pPr>
      <w:r>
        <w:rPr>
          <w:rFonts w:hint="eastAsia" w:ascii="宋体" w:hAnsi="宋体"/>
          <w:color w:val="auto"/>
        </w:rPr>
        <w:t>2.遵守中华人民共和国、广东省、</w:t>
      </w:r>
      <w:r>
        <w:rPr>
          <w:rFonts w:hint="eastAsia" w:ascii="宋体" w:hAnsi="宋体"/>
          <w:color w:val="auto"/>
          <w:u w:val="single"/>
          <w:lang w:eastAsia="zh-CN"/>
        </w:rPr>
        <w:t>中山</w:t>
      </w:r>
      <w:r>
        <w:rPr>
          <w:rFonts w:hint="eastAsia" w:ascii="宋体" w:hAnsi="宋体"/>
          <w:color w:val="auto"/>
        </w:rPr>
        <w:t>市有关政府采购、招标投标的法律法规规定，自觉维护市场经济秩序。否则，同意被废除投标资格并接受处罚。</w:t>
      </w:r>
    </w:p>
    <w:p>
      <w:pPr>
        <w:spacing w:line="300" w:lineRule="auto"/>
        <w:ind w:firstLine="420" w:firstLineChars="200"/>
        <w:rPr>
          <w:rFonts w:ascii="宋体" w:hAnsi="宋体"/>
          <w:color w:val="auto"/>
        </w:rPr>
      </w:pPr>
      <w:r>
        <w:rPr>
          <w:rFonts w:hint="eastAsia" w:ascii="宋体" w:hAnsi="宋体"/>
          <w:color w:val="auto"/>
        </w:rPr>
        <w:t>3.保证投标文件内容无任何虚假。若评标过程中查出有虚假，同意作无效投标文件处理并被没收投标担保，若中标之后查出有虚假，同意废除中标资格并被没收投标担保。</w:t>
      </w:r>
    </w:p>
    <w:p>
      <w:pPr>
        <w:spacing w:line="300" w:lineRule="auto"/>
        <w:ind w:firstLine="420" w:firstLineChars="200"/>
        <w:rPr>
          <w:rFonts w:ascii="宋体" w:hAnsi="宋体"/>
          <w:color w:val="auto"/>
        </w:rPr>
      </w:pPr>
      <w:r>
        <w:rPr>
          <w:rFonts w:hint="eastAsia" w:ascii="宋体" w:hAnsi="宋体"/>
          <w:color w:val="auto"/>
        </w:rPr>
        <w:t>4.保证投标文件不存在低于成本的恶意报价行为。</w:t>
      </w:r>
    </w:p>
    <w:p>
      <w:pPr>
        <w:spacing w:line="300" w:lineRule="auto"/>
        <w:ind w:firstLine="420" w:firstLineChars="200"/>
        <w:rPr>
          <w:rFonts w:ascii="宋体" w:hAnsi="宋体"/>
          <w:color w:val="auto"/>
        </w:rPr>
      </w:pPr>
      <w:r>
        <w:rPr>
          <w:rFonts w:hint="eastAsia" w:ascii="宋体" w:hAnsi="宋体"/>
          <w:color w:val="auto"/>
        </w:rPr>
        <w:t>5.保证按照招标文件及中标通知书规定提交履约担保并商签采购合同，</w:t>
      </w:r>
      <w:r>
        <w:rPr>
          <w:rFonts w:hint="eastAsia"/>
          <w:color w:val="auto"/>
        </w:rPr>
        <w:t>对招标文件第五部分《合同书》中的条款项下的内容完全响应，不作任何的偏离。</w:t>
      </w:r>
      <w:r>
        <w:rPr>
          <w:rFonts w:hint="eastAsia" w:ascii="宋体" w:hAnsi="宋体"/>
          <w:color w:val="auto"/>
        </w:rPr>
        <w:t>否则，同意接受招标人违约处罚并被没收投标担保。</w:t>
      </w:r>
    </w:p>
    <w:p>
      <w:pPr>
        <w:spacing w:line="300" w:lineRule="auto"/>
        <w:ind w:firstLine="420" w:firstLineChars="200"/>
        <w:rPr>
          <w:rFonts w:ascii="宋体" w:hAnsi="宋体"/>
          <w:color w:val="auto"/>
        </w:rPr>
      </w:pPr>
      <w:r>
        <w:rPr>
          <w:rFonts w:hint="eastAsia" w:ascii="宋体" w:hAnsi="宋体"/>
          <w:color w:val="auto"/>
        </w:rPr>
        <w:t>6.保证按照采购合同约定完成采购合同范围内的全部内容，履行保修责任。否则，同意接受招标人对投标人违约处理。</w:t>
      </w:r>
    </w:p>
    <w:p>
      <w:pPr>
        <w:spacing w:line="300" w:lineRule="auto"/>
        <w:ind w:firstLine="420" w:firstLineChars="200"/>
        <w:rPr>
          <w:rFonts w:ascii="宋体" w:hAnsi="宋体"/>
          <w:color w:val="auto"/>
        </w:rPr>
      </w:pPr>
      <w:r>
        <w:rPr>
          <w:rFonts w:hint="eastAsia" w:ascii="宋体" w:hAnsi="宋体"/>
          <w:color w:val="auto"/>
        </w:rPr>
        <w:t>7.保证中标之后不转包，若分包将征得招标人同意并遵守相关法律法规。</w:t>
      </w:r>
    </w:p>
    <w:p>
      <w:pPr>
        <w:spacing w:line="300" w:lineRule="auto"/>
        <w:ind w:firstLine="420" w:firstLineChars="200"/>
        <w:rPr>
          <w:rFonts w:ascii="宋体" w:hAnsi="宋体"/>
          <w:color w:val="auto"/>
        </w:rPr>
      </w:pPr>
      <w:r>
        <w:rPr>
          <w:rFonts w:hint="eastAsia" w:ascii="宋体" w:hAnsi="宋体"/>
          <w:color w:val="auto"/>
        </w:rPr>
        <w:t>8.保证中标之后按招标文件要求向招标项目配置承诺的资源，否则，同意接受违约处罚并被没收履约担保。</w:t>
      </w:r>
    </w:p>
    <w:p>
      <w:pPr>
        <w:spacing w:line="300" w:lineRule="auto"/>
        <w:ind w:firstLine="420" w:firstLineChars="200"/>
        <w:rPr>
          <w:rFonts w:ascii="宋体" w:hAnsi="宋体"/>
          <w:color w:val="auto"/>
        </w:rPr>
      </w:pPr>
      <w:r>
        <w:rPr>
          <w:rFonts w:hint="eastAsia" w:ascii="宋体" w:hAnsi="宋体"/>
          <w:color w:val="auto"/>
        </w:rPr>
        <w:t>9.保证中标之后密切配合采购人开展工作，接受采购人的监督管理。</w:t>
      </w:r>
    </w:p>
    <w:p>
      <w:pPr>
        <w:spacing w:line="300" w:lineRule="auto"/>
        <w:ind w:firstLine="420" w:firstLineChars="200"/>
        <w:rPr>
          <w:rFonts w:ascii="宋体" w:hAnsi="宋体"/>
          <w:color w:val="auto"/>
        </w:rPr>
      </w:pPr>
      <w:r>
        <w:rPr>
          <w:rFonts w:hint="eastAsia" w:ascii="宋体" w:hAnsi="宋体"/>
          <w:color w:val="auto"/>
        </w:rPr>
        <w:t>9.保证按招标文件及采购合同约定的原则处理采购调整事宜，不发生签署采购合同之后恶意索赔的行为。</w:t>
      </w:r>
    </w:p>
    <w:p>
      <w:pPr>
        <w:spacing w:line="300" w:lineRule="auto"/>
        <w:ind w:firstLine="420" w:firstLineChars="200"/>
        <w:rPr>
          <w:rFonts w:ascii="宋体" w:hAnsi="宋体"/>
          <w:color w:val="auto"/>
        </w:rPr>
      </w:pPr>
      <w:r>
        <w:rPr>
          <w:rFonts w:hint="eastAsia" w:ascii="宋体" w:hAnsi="宋体"/>
          <w:color w:val="auto"/>
        </w:rPr>
        <w:t>本投标人在规定的投标有效期限内，将受招标文件的约束并履行投标文件的承诺。</w:t>
      </w:r>
    </w:p>
    <w:p>
      <w:pPr>
        <w:spacing w:line="480" w:lineRule="exact"/>
        <w:rPr>
          <w:rFonts w:ascii="宋体" w:hAnsi="宋体"/>
          <w:color w:val="auto"/>
          <w:sz w:val="24"/>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投标人法定代表人（签字或签名章）：</w:t>
      </w:r>
      <w:r>
        <w:rPr>
          <w:rFonts w:hint="eastAsia" w:ascii="宋体" w:hAnsi="宋体"/>
          <w:color w:val="auto"/>
          <w:szCs w:val="21"/>
          <w:u w:val="single"/>
        </w:rPr>
        <w:t xml:space="preserve">                   </w:t>
      </w:r>
    </w:p>
    <w:p>
      <w:pPr>
        <w:adjustRightInd w:val="0"/>
        <w:snapToGrid w:val="0"/>
        <w:spacing w:line="360" w:lineRule="auto"/>
        <w:rPr>
          <w:rFonts w:ascii="宋体" w:hAnsi="宋体"/>
          <w:color w:val="auto"/>
          <w:szCs w:val="21"/>
          <w:u w:val="single"/>
        </w:rPr>
      </w:pPr>
      <w:r>
        <w:rPr>
          <w:rFonts w:hint="eastAsia" w:ascii="宋体" w:hAnsi="宋体"/>
          <w:color w:val="auto"/>
          <w:szCs w:val="21"/>
        </w:rPr>
        <w:t>投标人名称（签章）：</w:t>
      </w:r>
      <w:r>
        <w:rPr>
          <w:rFonts w:hint="eastAsia" w:ascii="宋体" w:hAnsi="宋体"/>
          <w:color w:val="auto"/>
          <w:szCs w:val="21"/>
          <w:u w:val="single"/>
        </w:rPr>
        <w:t xml:space="preserve">                        </w:t>
      </w:r>
    </w:p>
    <w:p>
      <w:pPr>
        <w:adjustRightInd w:val="0"/>
        <w:snapToGrid w:val="0"/>
        <w:spacing w:line="360" w:lineRule="auto"/>
        <w:rPr>
          <w:rFonts w:ascii="宋体" w:hAnsi="宋体"/>
          <w:color w:val="auto"/>
          <w:szCs w:val="21"/>
        </w:rPr>
      </w:pPr>
      <w:r>
        <w:rPr>
          <w:rFonts w:hint="eastAsia" w:ascii="宋体" w:hAnsi="宋体"/>
          <w:color w:val="auto"/>
          <w:szCs w:val="21"/>
        </w:rPr>
        <w:t>日期：   年   月   日</w:t>
      </w:r>
    </w:p>
    <w:p>
      <w:pPr>
        <w:rPr>
          <w:rFonts w:ascii="黑体"/>
          <w:color w:val="auto"/>
          <w:sz w:val="30"/>
        </w:rPr>
      </w:pPr>
      <w:r>
        <w:rPr>
          <w:color w:val="auto"/>
        </w:rPr>
        <w:br w:type="page"/>
      </w:r>
      <w:r>
        <w:rPr>
          <w:rFonts w:hint="eastAsia"/>
          <w:color w:val="auto"/>
        </w:rPr>
        <w:t>四、</w:t>
      </w:r>
      <w:bookmarkEnd w:id="16"/>
      <w:bookmarkEnd w:id="17"/>
      <w:bookmarkEnd w:id="18"/>
      <w:bookmarkEnd w:id="19"/>
      <w:bookmarkEnd w:id="20"/>
      <w:bookmarkEnd w:id="21"/>
      <w:bookmarkEnd w:id="22"/>
      <w:r>
        <w:rPr>
          <w:rFonts w:hint="eastAsia" w:ascii="黑体"/>
          <w:color w:val="auto"/>
          <w:sz w:val="30"/>
        </w:rPr>
        <w:t>资格证明文件及需提供的有关文件</w:t>
      </w:r>
    </w:p>
    <w:p>
      <w:pPr>
        <w:spacing w:line="480" w:lineRule="auto"/>
        <w:rPr>
          <w:rFonts w:ascii="宋体"/>
          <w:color w:val="auto"/>
        </w:rPr>
      </w:pPr>
      <w:r>
        <w:rPr>
          <w:rFonts w:hint="eastAsia" w:ascii="宋体"/>
          <w:color w:val="auto"/>
        </w:rPr>
        <w:t xml:space="preserve"> [说明]投标人应按照招标文件的要求提交以下格式（包括但不限于以下各项）的内容。</w:t>
      </w:r>
    </w:p>
    <w:p>
      <w:pPr>
        <w:spacing w:line="360" w:lineRule="auto"/>
        <w:rPr>
          <w:rFonts w:ascii="宋体"/>
          <w:color w:val="auto"/>
        </w:rPr>
      </w:pPr>
      <w:r>
        <w:rPr>
          <w:rFonts w:hint="eastAsia" w:ascii="宋体"/>
          <w:color w:val="auto"/>
        </w:rPr>
        <w:t>4.1《法人营业执照》原件复印件；</w:t>
      </w:r>
    </w:p>
    <w:p>
      <w:pPr>
        <w:spacing w:line="360" w:lineRule="auto"/>
        <w:rPr>
          <w:rFonts w:ascii="宋体"/>
          <w:color w:val="auto"/>
        </w:rPr>
      </w:pPr>
      <w:r>
        <w:rPr>
          <w:rFonts w:hint="eastAsia" w:ascii="宋体"/>
          <w:color w:val="auto"/>
        </w:rPr>
        <w:t>4.2 各类许可证复印件；（成品油经营许可证、计量检测报告、防雷检测报告、环保证、储存/经营消防许可证、规划许可证）</w:t>
      </w:r>
    </w:p>
    <w:p>
      <w:pPr>
        <w:spacing w:line="360" w:lineRule="auto"/>
        <w:rPr>
          <w:rFonts w:ascii="宋体"/>
          <w:color w:val="auto"/>
        </w:rPr>
      </w:pPr>
      <w:r>
        <w:rPr>
          <w:rFonts w:hint="eastAsia" w:ascii="宋体"/>
          <w:color w:val="auto"/>
        </w:rPr>
        <w:t>4.3</w:t>
      </w:r>
      <w:r>
        <w:rPr>
          <w:rFonts w:hint="eastAsia"/>
          <w:color w:val="auto"/>
        </w:rPr>
        <w:t>提供</w:t>
      </w:r>
      <w:r>
        <w:rPr>
          <w:rFonts w:hint="eastAsia" w:ascii="宋体"/>
          <w:color w:val="auto"/>
        </w:rPr>
        <w:t>投标人2013年至今投标人财务简况表（按附表4.1格式填写，须提供投标人近3年经审计的资产负债表、损益表复印件）；</w:t>
      </w:r>
    </w:p>
    <w:p>
      <w:pPr>
        <w:spacing w:line="360" w:lineRule="auto"/>
        <w:rPr>
          <w:rFonts w:ascii="宋体"/>
          <w:color w:val="auto"/>
        </w:rPr>
      </w:pPr>
      <w:r>
        <w:rPr>
          <w:rFonts w:hint="eastAsia" w:ascii="宋体"/>
          <w:color w:val="auto"/>
        </w:rPr>
        <w:t>4.4 提供投标人2013年至今销售状况表（按附表4.2格式填写）</w:t>
      </w:r>
    </w:p>
    <w:p>
      <w:pPr>
        <w:spacing w:line="360" w:lineRule="auto"/>
        <w:rPr>
          <w:rFonts w:ascii="宋体"/>
          <w:color w:val="auto"/>
        </w:rPr>
      </w:pPr>
      <w:r>
        <w:rPr>
          <w:rFonts w:hint="eastAsia" w:ascii="宋体"/>
          <w:color w:val="auto"/>
        </w:rPr>
        <w:t>4.5 主要设备一览表（按附表4.3格式填写）</w:t>
      </w:r>
    </w:p>
    <w:p>
      <w:pPr>
        <w:spacing w:line="360" w:lineRule="auto"/>
        <w:rPr>
          <w:rFonts w:ascii="宋体"/>
          <w:color w:val="auto"/>
        </w:rPr>
      </w:pPr>
      <w:r>
        <w:rPr>
          <w:rFonts w:hint="eastAsia" w:ascii="宋体"/>
          <w:color w:val="auto"/>
        </w:rPr>
        <w:t>4.6 服务承诺及优惠服务方法（按附表4.4格式填写）</w:t>
      </w:r>
    </w:p>
    <w:p>
      <w:pPr>
        <w:spacing w:line="360" w:lineRule="auto"/>
        <w:rPr>
          <w:rFonts w:ascii="宋体"/>
          <w:color w:val="auto"/>
        </w:rPr>
      </w:pPr>
      <w:r>
        <w:rPr>
          <w:rFonts w:hint="eastAsia" w:ascii="宋体"/>
          <w:color w:val="auto"/>
        </w:rPr>
        <w:t>4.7 油品质量保证措施及证明供油渠道的有关文件资料（按附表4.5格式填写）</w:t>
      </w:r>
    </w:p>
    <w:p>
      <w:pPr>
        <w:spacing w:line="360" w:lineRule="auto"/>
        <w:rPr>
          <w:rFonts w:ascii="宋体"/>
          <w:color w:val="auto"/>
        </w:rPr>
      </w:pPr>
      <w:r>
        <w:rPr>
          <w:rFonts w:hint="eastAsia" w:ascii="宋体"/>
          <w:color w:val="auto"/>
        </w:rPr>
        <w:t>4.8 油站主要管理人员一览表（按附表4.6格式填写）</w:t>
      </w:r>
    </w:p>
    <w:p>
      <w:pPr>
        <w:spacing w:line="360" w:lineRule="auto"/>
        <w:rPr>
          <w:rFonts w:ascii="宋体"/>
          <w:color w:val="auto"/>
        </w:rPr>
      </w:pPr>
      <w:r>
        <w:rPr>
          <w:rFonts w:hint="eastAsia" w:ascii="宋体"/>
          <w:color w:val="auto"/>
        </w:rPr>
        <w:t>4.9；企业规章管理制度一览表（按附表4.7格式填写）</w:t>
      </w:r>
    </w:p>
    <w:p>
      <w:pPr>
        <w:spacing w:line="360" w:lineRule="auto"/>
        <w:rPr>
          <w:rFonts w:ascii="宋体"/>
          <w:color w:val="auto"/>
        </w:rPr>
      </w:pPr>
      <w:r>
        <w:rPr>
          <w:rFonts w:hint="eastAsia" w:ascii="宋体"/>
          <w:color w:val="auto"/>
        </w:rPr>
        <w:t>4.10 中山市内经营网点分布图（投标人自制，必须明确标出数量、名称、详细地址及位置）</w:t>
      </w:r>
    </w:p>
    <w:p>
      <w:pPr>
        <w:spacing w:line="360" w:lineRule="auto"/>
        <w:rPr>
          <w:rFonts w:ascii="宋体"/>
          <w:color w:val="auto"/>
        </w:rPr>
      </w:pPr>
      <w:r>
        <w:rPr>
          <w:rFonts w:hint="eastAsia" w:ascii="宋体"/>
          <w:color w:val="auto"/>
        </w:rPr>
        <w:t>4.11 加油站地理位置及平面示意图（按附表4.8格式填写）</w:t>
      </w:r>
    </w:p>
    <w:p>
      <w:pPr>
        <w:spacing w:line="360" w:lineRule="auto"/>
        <w:rPr>
          <w:rFonts w:ascii="宋体"/>
          <w:color w:val="auto"/>
        </w:rPr>
      </w:pPr>
      <w:r>
        <w:rPr>
          <w:rFonts w:hint="eastAsia" w:ascii="宋体"/>
          <w:color w:val="auto"/>
        </w:rPr>
        <w:t>4.12诉讼情况（按附表4.9格式填写）</w:t>
      </w:r>
    </w:p>
    <w:p>
      <w:pPr>
        <w:spacing w:line="360" w:lineRule="auto"/>
        <w:rPr>
          <w:rFonts w:ascii="宋体"/>
          <w:color w:val="auto"/>
        </w:rPr>
      </w:pPr>
      <w:r>
        <w:rPr>
          <w:rFonts w:hint="eastAsia" w:ascii="宋体"/>
          <w:color w:val="auto"/>
        </w:rPr>
        <w:t>4.13 曾受表彰奖励证明文件</w:t>
      </w:r>
    </w:p>
    <w:p>
      <w:pPr>
        <w:spacing w:line="360" w:lineRule="auto"/>
        <w:rPr>
          <w:rFonts w:ascii="宋体"/>
          <w:color w:val="auto"/>
        </w:rPr>
      </w:pPr>
      <w:r>
        <w:rPr>
          <w:rFonts w:hint="eastAsia" w:ascii="宋体"/>
          <w:color w:val="auto"/>
        </w:rPr>
        <w:t>4.14 独具特色的服务项目（投标人自制）</w:t>
      </w:r>
    </w:p>
    <w:p>
      <w:pPr>
        <w:spacing w:line="360" w:lineRule="auto"/>
        <w:rPr>
          <w:rFonts w:ascii="宋体"/>
          <w:color w:val="auto"/>
        </w:rPr>
      </w:pPr>
      <w:r>
        <w:rPr>
          <w:rFonts w:hint="eastAsia" w:ascii="宋体"/>
          <w:color w:val="auto"/>
        </w:rPr>
        <w:t>4.15 中标后自身企业的改革计划（以提供优质、优先的服务）</w:t>
      </w:r>
    </w:p>
    <w:p>
      <w:pPr>
        <w:spacing w:line="360" w:lineRule="auto"/>
        <w:rPr>
          <w:rFonts w:ascii="宋体" w:hAnsi="Arial"/>
          <w:b/>
          <w:bCs/>
          <w:color w:val="auto"/>
          <w:sz w:val="24"/>
          <w:szCs w:val="24"/>
        </w:rPr>
        <w:sectPr>
          <w:pgSz w:w="11907" w:h="16840"/>
          <w:pgMar w:top="1418" w:right="1304" w:bottom="1246" w:left="1304" w:header="851" w:footer="851" w:gutter="0"/>
          <w:cols w:space="720" w:num="1"/>
        </w:sectPr>
      </w:pPr>
    </w:p>
    <w:p>
      <w:pPr>
        <w:pStyle w:val="3"/>
        <w:tabs>
          <w:tab w:val="left" w:pos="420"/>
        </w:tabs>
        <w:spacing w:before="120" w:after="120"/>
        <w:ind w:left="851"/>
        <w:rPr>
          <w:rFonts w:ascii="宋体" w:hAnsi="宋体"/>
          <w:color w:val="auto"/>
          <w:sz w:val="30"/>
        </w:rPr>
      </w:pPr>
      <w:r>
        <w:rPr>
          <w:rFonts w:hint="eastAsia" w:hAnsi="宋体"/>
          <w:b w:val="0"/>
          <w:bCs w:val="0"/>
          <w:color w:val="auto"/>
          <w:sz w:val="30"/>
        </w:rPr>
        <w:t>附表4.1格式</w:t>
      </w:r>
    </w:p>
    <w:p>
      <w:pPr>
        <w:spacing w:line="360" w:lineRule="auto"/>
        <w:jc w:val="center"/>
        <w:rPr>
          <w:rFonts w:ascii="宋体"/>
          <w:b/>
          <w:color w:val="auto"/>
          <w:sz w:val="28"/>
        </w:rPr>
      </w:pPr>
      <w:r>
        <w:rPr>
          <w:rFonts w:hint="eastAsia" w:ascii="宋体"/>
          <w:b/>
          <w:color w:val="auto"/>
          <w:sz w:val="28"/>
        </w:rPr>
        <w:t>2013年至今投标人财务简况表</w:t>
      </w:r>
    </w:p>
    <w:tbl>
      <w:tblPr>
        <w:tblStyle w:val="58"/>
        <w:tblW w:w="9000"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2"/>
        <w:gridCol w:w="1792"/>
        <w:gridCol w:w="1747"/>
        <w:gridCol w:w="1878"/>
        <w:gridCol w:w="16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trPr>
        <w:tc>
          <w:tcPr>
            <w:tcW w:w="1932"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年  度</w:t>
            </w:r>
          </w:p>
        </w:tc>
        <w:tc>
          <w:tcPr>
            <w:tcW w:w="1792"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总资产（元）</w:t>
            </w:r>
          </w:p>
        </w:tc>
        <w:tc>
          <w:tcPr>
            <w:tcW w:w="1747"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净资产（元）</w:t>
            </w:r>
          </w:p>
        </w:tc>
        <w:tc>
          <w:tcPr>
            <w:tcW w:w="1878"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年营业额（元）</w:t>
            </w:r>
          </w:p>
        </w:tc>
        <w:tc>
          <w:tcPr>
            <w:tcW w:w="1651"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ascii="宋体"/>
                <w:color w:val="auto"/>
              </w:rPr>
            </w:pPr>
            <w:r>
              <w:rPr>
                <w:rFonts w:hint="eastAsia" w:ascii="宋体"/>
                <w:color w:val="auto"/>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1932"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2013</w:t>
            </w:r>
          </w:p>
        </w:tc>
        <w:tc>
          <w:tcPr>
            <w:tcW w:w="179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74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8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65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1932"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2014</w:t>
            </w:r>
          </w:p>
        </w:tc>
        <w:tc>
          <w:tcPr>
            <w:tcW w:w="179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74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8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65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trPr>
        <w:tc>
          <w:tcPr>
            <w:tcW w:w="1932"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color w:val="auto"/>
              </w:rPr>
            </w:pPr>
            <w:r>
              <w:rPr>
                <w:rFonts w:hint="eastAsia" w:ascii="宋体"/>
                <w:color w:val="auto"/>
              </w:rPr>
              <w:t>2015</w:t>
            </w:r>
          </w:p>
        </w:tc>
        <w:tc>
          <w:tcPr>
            <w:tcW w:w="179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74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8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rPr>
            </w:pPr>
          </w:p>
        </w:tc>
        <w:tc>
          <w:tcPr>
            <w:tcW w:w="165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trPr>
        <w:tc>
          <w:tcPr>
            <w:tcW w:w="1932" w:type="dxa"/>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宋体"/>
                <w:color w:val="auto"/>
              </w:rPr>
            </w:pPr>
            <w:r>
              <w:rPr>
                <w:rFonts w:hint="eastAsia" w:ascii="宋体"/>
                <w:color w:val="auto"/>
              </w:rPr>
              <w:t>平均数</w:t>
            </w:r>
          </w:p>
        </w:tc>
        <w:tc>
          <w:tcPr>
            <w:tcW w:w="1792"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color w:val="auto"/>
              </w:rPr>
            </w:pPr>
          </w:p>
        </w:tc>
        <w:tc>
          <w:tcPr>
            <w:tcW w:w="1747"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color w:val="auto"/>
              </w:rPr>
            </w:pPr>
          </w:p>
        </w:tc>
        <w:tc>
          <w:tcPr>
            <w:tcW w:w="1878"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color w:val="auto"/>
              </w:rPr>
            </w:pPr>
          </w:p>
        </w:tc>
        <w:tc>
          <w:tcPr>
            <w:tcW w:w="1651" w:type="dxa"/>
            <w:tcBorders>
              <w:top w:val="single" w:color="auto" w:sz="6" w:space="0"/>
              <w:left w:val="single" w:color="auto" w:sz="6" w:space="0"/>
              <w:bottom w:val="single" w:color="auto" w:sz="12" w:space="0"/>
              <w:right w:val="single" w:color="auto" w:sz="12" w:space="0"/>
            </w:tcBorders>
            <w:vAlign w:val="center"/>
          </w:tcPr>
          <w:p>
            <w:pPr>
              <w:spacing w:line="360" w:lineRule="auto"/>
              <w:jc w:val="center"/>
              <w:rPr>
                <w:rFonts w:ascii="宋体"/>
                <w:color w:val="auto"/>
              </w:rPr>
            </w:pPr>
          </w:p>
        </w:tc>
      </w:tr>
    </w:tbl>
    <w:p>
      <w:pPr>
        <w:rPr>
          <w:rFonts w:ascii="宋体"/>
          <w:color w:val="auto"/>
        </w:rPr>
      </w:pPr>
      <w:r>
        <w:rPr>
          <w:color w:val="auto"/>
        </w:rPr>
        <w:t xml:space="preserve"> </w:t>
      </w:r>
      <w:r>
        <w:rPr>
          <w:rFonts w:hint="eastAsia"/>
          <w:color w:val="auto"/>
        </w:rPr>
        <w:t>注：如投标人此表数据有虚假</w:t>
      </w:r>
      <w:r>
        <w:rPr>
          <w:color w:val="auto"/>
        </w:rPr>
        <w:t>,</w:t>
      </w:r>
      <w:r>
        <w:rPr>
          <w:rFonts w:hint="eastAsia"/>
          <w:color w:val="auto"/>
        </w:rPr>
        <w:t>一经查实该项评分为</w:t>
      </w:r>
      <w:r>
        <w:rPr>
          <w:color w:val="auto"/>
        </w:rPr>
        <w:t>0</w:t>
      </w:r>
      <w:r>
        <w:rPr>
          <w:rFonts w:hint="eastAsia"/>
          <w:color w:val="auto"/>
        </w:rPr>
        <w:t>。</w:t>
      </w:r>
    </w:p>
    <w:p>
      <w:pPr>
        <w:pStyle w:val="5"/>
        <w:ind w:firstLine="643"/>
        <w:rPr>
          <w:color w:val="auto"/>
        </w:rPr>
      </w:pPr>
      <w:r>
        <w:rPr>
          <w:rFonts w:hint="eastAsia" w:hAnsi="Arial" w:eastAsia="黑体"/>
          <w:b/>
          <w:color w:val="auto"/>
          <w:sz w:val="32"/>
        </w:rPr>
        <w:t xml:space="preserve">      </w:t>
      </w:r>
      <w:r>
        <w:rPr>
          <w:rFonts w:hint="eastAsia"/>
          <w:color w:val="auto"/>
        </w:rPr>
        <w:t xml:space="preserve">                                                </w:t>
      </w:r>
    </w:p>
    <w:p>
      <w:pPr>
        <w:tabs>
          <w:tab w:val="left" w:pos="4223"/>
        </w:tabs>
        <w:spacing w:line="360" w:lineRule="auto"/>
        <w:rPr>
          <w:rFonts w:ascii="宋体"/>
          <w:color w:val="auto"/>
        </w:rPr>
      </w:pPr>
      <w:r>
        <w:rPr>
          <w:rFonts w:hint="eastAsia" w:ascii="宋体"/>
          <w:color w:val="auto"/>
        </w:rPr>
        <w:t xml:space="preserve">             </w:t>
      </w:r>
    </w:p>
    <w:p>
      <w:pPr>
        <w:spacing w:line="360" w:lineRule="auto"/>
        <w:rPr>
          <w:color w:val="auto"/>
        </w:rPr>
      </w:pPr>
    </w:p>
    <w:p>
      <w:pPr>
        <w:spacing w:line="360" w:lineRule="auto"/>
        <w:rPr>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r>
        <w:rPr>
          <w:rFonts w:hint="eastAsia"/>
          <w:color w:val="auto"/>
        </w:rPr>
        <w:t>授权代表（签名或盖章）：</w:t>
      </w:r>
    </w:p>
    <w:p>
      <w:pPr>
        <w:spacing w:line="360" w:lineRule="auto"/>
        <w:ind w:firstLine="5790"/>
        <w:rPr>
          <w:color w:val="auto"/>
        </w:rPr>
      </w:pPr>
      <w:r>
        <w:rPr>
          <w:rFonts w:hint="eastAsia"/>
          <w:color w:val="auto"/>
        </w:rPr>
        <w:t>日         期：</w:t>
      </w:r>
    </w:p>
    <w:p>
      <w:pPr>
        <w:spacing w:line="360" w:lineRule="auto"/>
        <w:ind w:firstLine="5790"/>
        <w:rPr>
          <w:color w:val="auto"/>
        </w:rPr>
      </w:pPr>
      <w:r>
        <w:rPr>
          <w:rFonts w:hint="eastAsia"/>
          <w:color w:val="auto"/>
        </w:rPr>
        <w:t xml:space="preserve">                                                                                               </w:t>
      </w:r>
    </w:p>
    <w:p>
      <w:pPr>
        <w:pStyle w:val="2"/>
        <w:spacing w:line="240" w:lineRule="auto"/>
        <w:rPr>
          <w:color w:val="auto"/>
          <w:sz w:val="28"/>
        </w:rPr>
      </w:pPr>
      <w:r>
        <w:rPr>
          <w:rFonts w:hint="eastAsia" w:ascii="宋体" w:hAnsi="宋体"/>
          <w:b w:val="0"/>
          <w:color w:val="auto"/>
          <w:sz w:val="30"/>
          <w:szCs w:val="24"/>
        </w:rPr>
        <w:br w:type="page"/>
      </w:r>
      <w:r>
        <w:rPr>
          <w:rFonts w:hint="eastAsia"/>
          <w:b w:val="0"/>
          <w:color w:val="auto"/>
          <w:sz w:val="30"/>
        </w:rPr>
        <w:t>附表4.2格式</w:t>
      </w:r>
    </w:p>
    <w:p>
      <w:pPr>
        <w:spacing w:line="360" w:lineRule="auto"/>
        <w:jc w:val="center"/>
        <w:rPr>
          <w:rFonts w:eastAsia="黑体"/>
          <w:b/>
          <w:color w:val="auto"/>
          <w:sz w:val="30"/>
        </w:rPr>
      </w:pPr>
      <w:r>
        <w:rPr>
          <w:rFonts w:hint="eastAsia" w:eastAsia="黑体"/>
          <w:b/>
          <w:color w:val="auto"/>
          <w:sz w:val="30"/>
        </w:rPr>
        <w:t>销售状况表</w:t>
      </w:r>
    </w:p>
    <w:p>
      <w:pPr>
        <w:pStyle w:val="27"/>
        <w:spacing w:line="360" w:lineRule="auto"/>
        <w:rPr>
          <w:rFonts w:eastAsia="黑体"/>
          <w:bCs/>
          <w:color w:val="auto"/>
          <w:sz w:val="21"/>
        </w:rPr>
      </w:pPr>
    </w:p>
    <w:tbl>
      <w:tblPr>
        <w:tblStyle w:val="58"/>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069"/>
        <w:gridCol w:w="2100"/>
        <w:gridCol w:w="21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63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r>
              <w:rPr>
                <w:rFonts w:hint="eastAsia" w:eastAsia="黑体"/>
                <w:color w:val="auto"/>
              </w:rPr>
              <w:t>序号</w:t>
            </w:r>
          </w:p>
        </w:tc>
        <w:tc>
          <w:tcPr>
            <w:tcW w:w="20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r>
              <w:rPr>
                <w:rFonts w:hint="eastAsia" w:eastAsia="黑体"/>
                <w:color w:val="auto"/>
              </w:rPr>
              <w:t>品名</w:t>
            </w:r>
          </w:p>
        </w:tc>
        <w:tc>
          <w:tcPr>
            <w:tcW w:w="630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r>
              <w:rPr>
                <w:rFonts w:hint="eastAsia" w:eastAsia="黑体"/>
                <w:color w:val="auto"/>
              </w:rPr>
              <w:t>销售量（单位：</w:t>
            </w:r>
            <w:r>
              <w:rPr>
                <w:rFonts w:eastAsia="黑体"/>
                <w:color w:val="auto"/>
              </w:rPr>
              <w:t xml:space="preserve">  </w:t>
            </w:r>
            <w:r>
              <w:rPr>
                <w:rFonts w:hint="eastAsia" w:eastAsia="黑体"/>
                <w:color w:val="auto"/>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631" w:type="dxa"/>
            <w:vMerge w:val="continue"/>
            <w:tcBorders>
              <w:top w:val="single" w:color="auto" w:sz="4" w:space="0"/>
              <w:left w:val="single" w:color="auto" w:sz="4" w:space="0"/>
              <w:bottom w:val="single" w:color="auto" w:sz="4" w:space="0"/>
              <w:right w:val="single" w:color="auto" w:sz="4" w:space="0"/>
            </w:tcBorders>
            <w:vAlign w:val="center"/>
          </w:tcPr>
          <w:p>
            <w:pPr>
              <w:rPr>
                <w:rFonts w:eastAsia="黑体"/>
                <w:color w:val="auto"/>
              </w:rPr>
            </w:pPr>
          </w:p>
        </w:tc>
        <w:tc>
          <w:tcPr>
            <w:tcW w:w="2069" w:type="dxa"/>
            <w:vMerge w:val="continue"/>
            <w:tcBorders>
              <w:top w:val="single" w:color="auto" w:sz="4" w:space="0"/>
              <w:left w:val="single" w:color="auto" w:sz="4" w:space="0"/>
              <w:bottom w:val="single" w:color="auto" w:sz="4" w:space="0"/>
              <w:right w:val="single" w:color="auto" w:sz="4" w:space="0"/>
            </w:tcBorders>
            <w:vAlign w:val="center"/>
          </w:tcPr>
          <w:p>
            <w:pP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r>
              <w:rPr>
                <w:rFonts w:eastAsia="黑体"/>
                <w:color w:val="auto"/>
              </w:rPr>
              <w:t>20</w:t>
            </w:r>
            <w:r>
              <w:rPr>
                <w:rFonts w:hint="eastAsia" w:eastAsia="黑体"/>
                <w:color w:val="auto"/>
              </w:rPr>
              <w:t>1</w:t>
            </w:r>
            <w:r>
              <w:rPr>
                <w:rFonts w:hint="eastAsia" w:eastAsia="黑体"/>
                <w:color w:val="auto"/>
                <w:lang w:val="en-US" w:eastAsia="zh-CN"/>
              </w:rPr>
              <w:t>4</w:t>
            </w:r>
            <w:r>
              <w:rPr>
                <w:rFonts w:hint="eastAsia" w:eastAsia="黑体"/>
                <w:color w:val="auto"/>
              </w:rPr>
              <w:t>年</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r>
              <w:rPr>
                <w:rFonts w:eastAsia="黑体"/>
                <w:color w:val="auto"/>
              </w:rPr>
              <w:t>201</w:t>
            </w:r>
            <w:r>
              <w:rPr>
                <w:rFonts w:hint="eastAsia" w:eastAsia="黑体"/>
                <w:color w:val="auto"/>
                <w:lang w:val="en-US" w:eastAsia="zh-CN"/>
              </w:rPr>
              <w:t>5</w:t>
            </w:r>
            <w:r>
              <w:rPr>
                <w:rFonts w:hint="eastAsia" w:eastAsia="黑体"/>
                <w:color w:val="auto"/>
              </w:rPr>
              <w:t>年</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r>
              <w:rPr>
                <w:rFonts w:eastAsia="黑体"/>
                <w:color w:val="auto"/>
              </w:rPr>
              <w:t>201</w:t>
            </w:r>
            <w:r>
              <w:rPr>
                <w:rFonts w:hint="eastAsia" w:eastAsia="黑体"/>
                <w:color w:val="auto"/>
                <w:lang w:val="en-US" w:eastAsia="zh-CN"/>
              </w:rPr>
              <w:t>6</w:t>
            </w:r>
            <w:r>
              <w:rPr>
                <w:rFonts w:hint="eastAsia" w:eastAsia="黑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rPr>
            </w:pPr>
          </w:p>
        </w:tc>
      </w:tr>
    </w:tbl>
    <w:p>
      <w:pPr>
        <w:spacing w:line="360" w:lineRule="auto"/>
        <w:rPr>
          <w:rFonts w:eastAsia="黑体"/>
          <w:color w:val="auto"/>
        </w:rPr>
      </w:pPr>
    </w:p>
    <w:p>
      <w:pPr>
        <w:spacing w:line="360" w:lineRule="auto"/>
        <w:rPr>
          <w:rFonts w:eastAsia="黑体"/>
          <w:color w:val="auto"/>
        </w:rPr>
      </w:pPr>
    </w:p>
    <w:p>
      <w:pPr>
        <w:spacing w:line="360" w:lineRule="auto"/>
        <w:rPr>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spacing w:line="360" w:lineRule="auto"/>
        <w:rPr>
          <w:rFonts w:ascii="宋体" w:hAnsi="宋体"/>
          <w:color w:val="auto"/>
        </w:rPr>
      </w:pPr>
      <w:r>
        <w:rPr>
          <w:color w:val="auto"/>
        </w:rPr>
        <w:br w:type="page"/>
      </w:r>
      <w:r>
        <w:rPr>
          <w:rFonts w:hint="eastAsia" w:ascii="宋体" w:hAnsi="宋体"/>
          <w:b/>
          <w:color w:val="auto"/>
          <w:sz w:val="30"/>
        </w:rPr>
        <w:t>附表4.3格式</w:t>
      </w:r>
    </w:p>
    <w:p>
      <w:pPr>
        <w:spacing w:line="360" w:lineRule="auto"/>
        <w:jc w:val="center"/>
        <w:rPr>
          <w:b/>
          <w:color w:val="auto"/>
        </w:rPr>
      </w:pPr>
      <w:r>
        <w:rPr>
          <w:rFonts w:hint="eastAsia"/>
          <w:b/>
          <w:color w:val="auto"/>
          <w:sz w:val="30"/>
        </w:rPr>
        <w:t>主要设备一览表</w:t>
      </w:r>
    </w:p>
    <w:p>
      <w:pPr>
        <w:pStyle w:val="27"/>
        <w:spacing w:line="360" w:lineRule="auto"/>
        <w:rPr>
          <w:color w:val="auto"/>
        </w:rPr>
      </w:pPr>
    </w:p>
    <w:tbl>
      <w:tblPr>
        <w:tblStyle w:val="58"/>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1050"/>
        <w:gridCol w:w="945"/>
        <w:gridCol w:w="945"/>
        <w:gridCol w:w="1332"/>
        <w:gridCol w:w="108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项</w:t>
            </w:r>
            <w:r>
              <w:rPr>
                <w:rFonts w:eastAsia="黑体"/>
                <w:color w:val="auto"/>
              </w:rPr>
              <w:t xml:space="preserve">       </w:t>
            </w:r>
            <w:r>
              <w:rPr>
                <w:rFonts w:hint="eastAsia" w:eastAsia="黑体"/>
                <w:color w:val="auto"/>
              </w:rPr>
              <w:t>目</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型号</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产地</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数量</w:t>
            </w: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单位容量</w:t>
            </w: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性能状况</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投入使用时间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pStyle w:val="27"/>
              <w:spacing w:line="360" w:lineRule="auto"/>
              <w:rPr>
                <w:rFonts w:eastAsia="黑体"/>
                <w:color w:val="auto"/>
              </w:rPr>
            </w:pPr>
            <w:r>
              <w:rPr>
                <w:rFonts w:hint="eastAsia" w:eastAsia="黑体"/>
                <w:color w:val="auto"/>
              </w:rPr>
              <w:t>一、储油设备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1</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2</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3</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4</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5</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6</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hint="eastAsia" w:eastAsia="黑体"/>
                <w:color w:val="auto"/>
              </w:rPr>
              <w:t>二、计量计价设备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1</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2</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3</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4</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5</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6</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hint="eastAsia" w:eastAsia="黑体"/>
                <w:color w:val="auto"/>
              </w:rPr>
              <w:t>三、消防设备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1</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2</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3</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4</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hint="eastAsia" w:eastAsia="黑体"/>
                <w:color w:val="auto"/>
              </w:rPr>
              <w:t>四、其他设备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1</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2</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rPr>
            </w:pPr>
            <w:r>
              <w:rPr>
                <w:rFonts w:eastAsia="黑体"/>
                <w:color w:val="auto"/>
              </w:rPr>
              <w:t>3</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p>
        </w:tc>
      </w:tr>
    </w:tbl>
    <w:p>
      <w:pPr>
        <w:spacing w:line="360" w:lineRule="auto"/>
        <w:rPr>
          <w:rFonts w:eastAsia="黑体"/>
          <w:color w:val="auto"/>
        </w:rPr>
      </w:pPr>
      <w:r>
        <w:rPr>
          <w:rFonts w:hint="eastAsia" w:eastAsia="黑体"/>
          <w:color w:val="auto"/>
        </w:rPr>
        <w:t>注：</w:t>
      </w:r>
      <w:r>
        <w:rPr>
          <w:rFonts w:eastAsia="黑体"/>
          <w:color w:val="auto"/>
        </w:rPr>
        <w:t>1</w:t>
      </w:r>
      <w:r>
        <w:rPr>
          <w:rFonts w:hint="eastAsia" w:eastAsia="黑体"/>
          <w:color w:val="auto"/>
        </w:rPr>
        <w:t>。每一项目按不同的设备名称填写，同一设备名称需按不同的型号填写；</w:t>
      </w:r>
    </w:p>
    <w:p>
      <w:pPr>
        <w:spacing w:line="360" w:lineRule="auto"/>
        <w:rPr>
          <w:rFonts w:eastAsia="黑体"/>
          <w:color w:val="auto"/>
        </w:rPr>
      </w:pPr>
      <w:r>
        <w:rPr>
          <w:rFonts w:eastAsia="黑体"/>
          <w:color w:val="auto"/>
        </w:rPr>
        <w:t xml:space="preserve">        2</w:t>
      </w:r>
      <w:r>
        <w:rPr>
          <w:rFonts w:hint="eastAsia" w:eastAsia="黑体"/>
          <w:color w:val="auto"/>
        </w:rPr>
        <w:t>。储油设备和计量计价设备要标明汽油用或柴油用；</w:t>
      </w:r>
    </w:p>
    <w:p>
      <w:pPr>
        <w:spacing w:line="360" w:lineRule="auto"/>
        <w:rPr>
          <w:rFonts w:eastAsia="黑体"/>
          <w:color w:val="auto"/>
        </w:rPr>
      </w:pPr>
      <w:r>
        <w:rPr>
          <w:rFonts w:eastAsia="黑体"/>
          <w:color w:val="auto"/>
        </w:rPr>
        <w:t xml:space="preserve">        3</w:t>
      </w:r>
      <w:r>
        <w:rPr>
          <w:rFonts w:hint="eastAsia" w:eastAsia="黑体"/>
          <w:color w:val="auto"/>
        </w:rPr>
        <w:t>。本表要按加油站名称分别填写；</w:t>
      </w:r>
    </w:p>
    <w:p>
      <w:pPr>
        <w:spacing w:line="360" w:lineRule="auto"/>
        <w:rPr>
          <w:color w:val="auto"/>
        </w:rPr>
      </w:pPr>
      <w:r>
        <w:rPr>
          <w:rFonts w:eastAsia="黑体"/>
          <w:color w:val="auto"/>
        </w:rPr>
        <w:t xml:space="preserve">        4</w:t>
      </w:r>
      <w:r>
        <w:rPr>
          <w:rFonts w:hint="eastAsia" w:eastAsia="黑体"/>
          <w:color w:val="auto"/>
        </w:rPr>
        <w:t>．如本表不够填写，可按此表格式自行划表填写。</w:t>
      </w:r>
    </w:p>
    <w:p>
      <w:pPr>
        <w:spacing w:line="360" w:lineRule="auto"/>
        <w:ind w:firstLine="5790"/>
        <w:rPr>
          <w:color w:val="auto"/>
        </w:rPr>
      </w:pPr>
      <w:r>
        <w:rPr>
          <w:rFonts w:hint="eastAsia"/>
          <w:color w:val="auto"/>
        </w:rPr>
        <w:t>投标人（法人公章）：</w:t>
      </w:r>
    </w:p>
    <w:p>
      <w:pPr>
        <w:spacing w:line="360" w:lineRule="auto"/>
        <w:ind w:firstLine="5790"/>
        <w:rPr>
          <w:color w:val="auto"/>
        </w:rPr>
      </w:pPr>
      <w:r>
        <w:rPr>
          <w:rFonts w:hint="eastAsia"/>
          <w:color w:val="auto"/>
        </w:rPr>
        <w:t>授权代表（签名或盖章）：</w:t>
      </w: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spacing w:line="360" w:lineRule="auto"/>
        <w:rPr>
          <w:rFonts w:ascii="宋体" w:hAnsi="宋体"/>
          <w:b/>
          <w:color w:val="auto"/>
          <w:sz w:val="30"/>
        </w:rPr>
      </w:pPr>
      <w:r>
        <w:rPr>
          <w:color w:val="auto"/>
        </w:rPr>
        <w:br w:type="page"/>
      </w:r>
      <w:r>
        <w:rPr>
          <w:rFonts w:hint="eastAsia" w:ascii="宋体" w:hAnsi="宋体"/>
          <w:b/>
          <w:color w:val="auto"/>
          <w:sz w:val="30"/>
        </w:rPr>
        <w:t>附表4.4格式</w:t>
      </w:r>
    </w:p>
    <w:p>
      <w:pPr>
        <w:spacing w:line="360" w:lineRule="auto"/>
        <w:jc w:val="center"/>
        <w:rPr>
          <w:b/>
          <w:color w:val="auto"/>
          <w:sz w:val="30"/>
        </w:rPr>
      </w:pPr>
      <w:r>
        <w:rPr>
          <w:rFonts w:hint="eastAsia"/>
          <w:b/>
          <w:color w:val="auto"/>
          <w:sz w:val="30"/>
        </w:rPr>
        <w:t>服务承诺及优惠服务方法</w:t>
      </w:r>
    </w:p>
    <w:p>
      <w:pPr>
        <w:spacing w:line="360" w:lineRule="auto"/>
        <w:jc w:val="center"/>
        <w:rPr>
          <w:rFonts w:eastAsia="黑体"/>
          <w:color w:val="auto"/>
        </w:rPr>
      </w:pPr>
    </w:p>
    <w:p>
      <w:pPr>
        <w:pStyle w:val="27"/>
        <w:spacing w:line="360" w:lineRule="auto"/>
        <w:rPr>
          <w:rFonts w:eastAsia="黑体"/>
          <w:color w:val="auto"/>
        </w:rPr>
      </w:pPr>
    </w:p>
    <w:tbl>
      <w:tblPr>
        <w:tblStyle w:val="5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4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承诺事项</w:t>
            </w:r>
          </w:p>
        </w:tc>
        <w:tc>
          <w:tcPr>
            <w:tcW w:w="4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color w:val="auto"/>
              </w:rPr>
            </w:pPr>
            <w:r>
              <w:rPr>
                <w:rFonts w:hint="eastAsia" w:eastAsia="黑体"/>
                <w:color w:val="auto"/>
              </w:rPr>
              <w:t>优惠服务方法：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pStyle w:val="27"/>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c>
          <w:tcPr>
            <w:tcW w:w="4757"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bl>
    <w:p>
      <w:pPr>
        <w:spacing w:line="360" w:lineRule="auto"/>
        <w:rPr>
          <w:rFonts w:eastAsia="黑体"/>
          <w:color w:val="auto"/>
        </w:rPr>
      </w:pPr>
    </w:p>
    <w:p>
      <w:pPr>
        <w:spacing w:line="360" w:lineRule="auto"/>
        <w:rPr>
          <w:rFonts w:eastAsia="黑体"/>
          <w:color w:val="auto"/>
        </w:rPr>
      </w:pPr>
      <w:r>
        <w:rPr>
          <w:rFonts w:hint="eastAsia" w:eastAsia="黑体"/>
          <w:color w:val="auto"/>
        </w:rPr>
        <w:t>注：投标人要根据自己的能力做出承诺，中标后作为合同附件，与合同一起具有法律约束力。</w:t>
      </w:r>
    </w:p>
    <w:p>
      <w:pPr>
        <w:spacing w:line="360" w:lineRule="auto"/>
        <w:rPr>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spacing w:line="360" w:lineRule="auto"/>
        <w:rPr>
          <w:rFonts w:ascii="宋体" w:hAnsi="宋体"/>
          <w:b/>
          <w:color w:val="auto"/>
          <w:sz w:val="30"/>
        </w:rPr>
      </w:pPr>
      <w:r>
        <w:rPr>
          <w:color w:val="auto"/>
        </w:rPr>
        <w:br w:type="page"/>
      </w:r>
      <w:r>
        <w:rPr>
          <w:rFonts w:hint="eastAsia" w:ascii="宋体" w:hAnsi="宋体"/>
          <w:b/>
          <w:color w:val="auto"/>
          <w:sz w:val="30"/>
        </w:rPr>
        <w:t>附表4.5格式</w:t>
      </w:r>
    </w:p>
    <w:p>
      <w:pPr>
        <w:spacing w:line="360" w:lineRule="auto"/>
        <w:rPr>
          <w:color w:val="auto"/>
        </w:rPr>
      </w:pPr>
    </w:p>
    <w:p>
      <w:pPr>
        <w:spacing w:line="360" w:lineRule="auto"/>
        <w:jc w:val="center"/>
        <w:rPr>
          <w:b/>
          <w:color w:val="auto"/>
          <w:sz w:val="30"/>
        </w:rPr>
      </w:pPr>
      <w:r>
        <w:rPr>
          <w:rFonts w:hint="eastAsia"/>
          <w:b/>
          <w:color w:val="auto"/>
          <w:sz w:val="30"/>
        </w:rPr>
        <w:t>油品质量保证措施及证明供油渠道的有关文件资料</w:t>
      </w:r>
    </w:p>
    <w:p>
      <w:pPr>
        <w:spacing w:line="360" w:lineRule="auto"/>
        <w:rPr>
          <w:color w:val="auto"/>
        </w:rPr>
      </w:pPr>
    </w:p>
    <w:tbl>
      <w:tblPr>
        <w:tblStyle w:val="5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9515"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黑体"/>
                <w:color w:val="auto"/>
                <w:sz w:val="24"/>
              </w:rPr>
            </w:pPr>
            <w:r>
              <w:rPr>
                <w:rFonts w:hint="eastAsia" w:eastAsia="黑体"/>
                <w:color w:val="auto"/>
                <w:sz w:val="24"/>
              </w:rPr>
              <w:t>投标人承诺：如中标，本措施将作为本投标必须履行的义务，如出现质量问题，按合同规定承担责任。</w:t>
            </w:r>
          </w:p>
        </w:tc>
      </w:tr>
    </w:tbl>
    <w:p>
      <w:pPr>
        <w:spacing w:line="360" w:lineRule="auto"/>
        <w:rPr>
          <w:rFonts w:eastAsia="黑体"/>
          <w:color w:val="auto"/>
        </w:rPr>
      </w:pPr>
    </w:p>
    <w:tbl>
      <w:tblPr>
        <w:tblStyle w:val="5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1" w:hRule="atLeast"/>
        </w:trPr>
        <w:tc>
          <w:tcPr>
            <w:tcW w:w="9515" w:type="dxa"/>
            <w:tcBorders>
              <w:top w:val="single" w:color="auto" w:sz="4" w:space="0"/>
              <w:left w:val="single" w:color="auto" w:sz="4" w:space="0"/>
              <w:bottom w:val="single" w:color="auto" w:sz="4" w:space="0"/>
              <w:right w:val="single" w:color="auto" w:sz="4" w:space="0"/>
            </w:tcBorders>
          </w:tcPr>
          <w:p>
            <w:pPr>
              <w:spacing w:line="360" w:lineRule="auto"/>
              <w:rPr>
                <w:rFonts w:eastAsia="黑体"/>
                <w:color w:val="auto"/>
              </w:rPr>
            </w:pPr>
          </w:p>
        </w:tc>
      </w:tr>
    </w:tbl>
    <w:p>
      <w:pPr>
        <w:spacing w:line="360" w:lineRule="auto"/>
        <w:rPr>
          <w:rFonts w:eastAsia="黑体"/>
          <w:color w:val="auto"/>
        </w:rPr>
      </w:pPr>
    </w:p>
    <w:p>
      <w:pPr>
        <w:spacing w:line="360" w:lineRule="auto"/>
        <w:rPr>
          <w:rFonts w:eastAsia="黑体"/>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spacing w:line="360" w:lineRule="auto"/>
        <w:rPr>
          <w:rFonts w:eastAsia="黑体"/>
          <w:color w:val="auto"/>
        </w:rPr>
      </w:pPr>
    </w:p>
    <w:p>
      <w:pPr>
        <w:spacing w:line="360" w:lineRule="auto"/>
        <w:rPr>
          <w:rFonts w:ascii="宋体" w:hAnsi="Arial"/>
          <w:b/>
          <w:bCs/>
          <w:color w:val="auto"/>
          <w:sz w:val="30"/>
          <w:szCs w:val="24"/>
        </w:rPr>
        <w:sectPr>
          <w:pgSz w:w="11907" w:h="16840"/>
          <w:pgMar w:top="1418" w:right="1304" w:bottom="1246" w:left="1304" w:header="851" w:footer="851" w:gutter="0"/>
          <w:cols w:space="720" w:num="1"/>
        </w:sectPr>
      </w:pPr>
    </w:p>
    <w:p>
      <w:pPr>
        <w:pStyle w:val="3"/>
        <w:tabs>
          <w:tab w:val="left" w:pos="420"/>
        </w:tabs>
        <w:spacing w:before="120" w:after="120"/>
        <w:ind w:left="851"/>
        <w:rPr>
          <w:rFonts w:hAnsi="宋体" w:eastAsia="宋体"/>
          <w:color w:val="auto"/>
          <w:sz w:val="30"/>
        </w:rPr>
      </w:pPr>
      <w:r>
        <w:rPr>
          <w:rFonts w:hint="eastAsia" w:hAnsi="宋体"/>
          <w:b w:val="0"/>
          <w:bCs w:val="0"/>
          <w:color w:val="auto"/>
          <w:sz w:val="30"/>
        </w:rPr>
        <w:t>附表4.6格式</w:t>
      </w:r>
    </w:p>
    <w:p>
      <w:pPr>
        <w:pStyle w:val="5"/>
        <w:ind w:firstLine="602"/>
        <w:jc w:val="center"/>
        <w:rPr>
          <w:b/>
          <w:color w:val="auto"/>
          <w:sz w:val="30"/>
        </w:rPr>
      </w:pPr>
      <w:r>
        <w:rPr>
          <w:rFonts w:hint="eastAsia"/>
          <w:b/>
          <w:color w:val="auto"/>
          <w:sz w:val="30"/>
        </w:rPr>
        <w:t>主要管理人员一览表</w:t>
      </w:r>
    </w:p>
    <w:p>
      <w:pPr>
        <w:pStyle w:val="5"/>
        <w:rPr>
          <w:color w:val="auto"/>
        </w:rPr>
      </w:pPr>
    </w:p>
    <w:p>
      <w:pPr>
        <w:pStyle w:val="5"/>
        <w:rPr>
          <w:color w:val="auto"/>
        </w:rPr>
      </w:pPr>
    </w:p>
    <w:p>
      <w:pPr>
        <w:pStyle w:val="5"/>
        <w:ind w:firstLine="200"/>
        <w:rPr>
          <w:color w:val="auto"/>
          <w:sz w:val="10"/>
        </w:rPr>
      </w:pPr>
    </w:p>
    <w:tbl>
      <w:tblPr>
        <w:tblStyle w:val="58"/>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470"/>
        <w:gridCol w:w="1575"/>
        <w:gridCol w:w="1245"/>
        <w:gridCol w:w="26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43"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序号</w:t>
            </w:r>
          </w:p>
        </w:tc>
        <w:tc>
          <w:tcPr>
            <w:tcW w:w="1470"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部门/油站名称</w:t>
            </w:r>
          </w:p>
        </w:tc>
        <w:tc>
          <w:tcPr>
            <w:tcW w:w="1245"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职位</w:t>
            </w:r>
          </w:p>
        </w:tc>
        <w:tc>
          <w:tcPr>
            <w:tcW w:w="2640"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从事本工作时间</w:t>
            </w:r>
          </w:p>
        </w:tc>
        <w:tc>
          <w:tcPr>
            <w:tcW w:w="2100"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47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57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124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640"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2100" w:type="dxa"/>
            <w:tcBorders>
              <w:top w:val="single" w:color="auto" w:sz="4" w:space="0"/>
              <w:left w:val="single" w:color="auto" w:sz="4" w:space="0"/>
              <w:bottom w:val="single" w:color="auto" w:sz="4" w:space="0"/>
              <w:right w:val="single" w:color="auto" w:sz="4" w:space="0"/>
            </w:tcBorders>
          </w:tcPr>
          <w:p>
            <w:pPr>
              <w:pStyle w:val="5"/>
              <w:rPr>
                <w:color w:val="auto"/>
              </w:rPr>
            </w:pPr>
          </w:p>
        </w:tc>
      </w:tr>
    </w:tbl>
    <w:p>
      <w:pPr>
        <w:pStyle w:val="5"/>
        <w:rPr>
          <w:color w:val="auto"/>
        </w:rPr>
      </w:pPr>
    </w:p>
    <w:p>
      <w:pPr>
        <w:pStyle w:val="5"/>
        <w:rPr>
          <w:color w:val="auto"/>
        </w:rPr>
      </w:pPr>
    </w:p>
    <w:p>
      <w:pPr>
        <w:pStyle w:val="5"/>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pStyle w:val="5"/>
        <w:rPr>
          <w:color w:val="auto"/>
        </w:rPr>
      </w:pPr>
    </w:p>
    <w:p>
      <w:pPr>
        <w:spacing w:line="360" w:lineRule="auto"/>
        <w:rPr>
          <w:rFonts w:ascii="宋体" w:hAnsi="Arial"/>
          <w:b/>
          <w:bCs/>
          <w:color w:val="auto"/>
          <w:sz w:val="30"/>
          <w:szCs w:val="24"/>
        </w:rPr>
        <w:sectPr>
          <w:pgSz w:w="11907" w:h="16840"/>
          <w:pgMar w:top="1418" w:right="1304" w:bottom="1246" w:left="1304" w:header="851" w:footer="851" w:gutter="0"/>
          <w:cols w:space="720" w:num="1"/>
        </w:sectPr>
      </w:pPr>
    </w:p>
    <w:p>
      <w:pPr>
        <w:pStyle w:val="3"/>
        <w:tabs>
          <w:tab w:val="left" w:pos="420"/>
        </w:tabs>
        <w:spacing w:before="120" w:after="120"/>
        <w:ind w:left="851"/>
        <w:rPr>
          <w:rFonts w:hAnsi="宋体"/>
          <w:color w:val="auto"/>
          <w:sz w:val="30"/>
        </w:rPr>
      </w:pPr>
      <w:r>
        <w:rPr>
          <w:rFonts w:hint="eastAsia" w:hAnsi="宋体"/>
          <w:b w:val="0"/>
          <w:bCs w:val="0"/>
          <w:color w:val="auto"/>
          <w:sz w:val="30"/>
        </w:rPr>
        <w:t>附表4.7格式</w:t>
      </w:r>
    </w:p>
    <w:p>
      <w:pPr>
        <w:pStyle w:val="5"/>
        <w:ind w:firstLine="602"/>
        <w:jc w:val="center"/>
        <w:rPr>
          <w:b/>
          <w:color w:val="auto"/>
          <w:sz w:val="30"/>
        </w:rPr>
      </w:pPr>
      <w:r>
        <w:rPr>
          <w:rFonts w:hint="eastAsia"/>
          <w:b/>
          <w:color w:val="auto"/>
          <w:sz w:val="30"/>
        </w:rPr>
        <w:t>规章管理制度一览表</w:t>
      </w:r>
    </w:p>
    <w:p>
      <w:pPr>
        <w:pStyle w:val="5"/>
        <w:rPr>
          <w:color w:val="auto"/>
        </w:rPr>
      </w:pPr>
    </w:p>
    <w:tbl>
      <w:tblPr>
        <w:tblStyle w:val="58"/>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2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序号</w:t>
            </w:r>
          </w:p>
        </w:tc>
        <w:tc>
          <w:tcPr>
            <w:tcW w:w="4725"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规章管理制度名称</w:t>
            </w:r>
          </w:p>
        </w:tc>
        <w:tc>
          <w:tcPr>
            <w:tcW w:w="3945" w:type="dxa"/>
            <w:tcBorders>
              <w:top w:val="single" w:color="auto" w:sz="4" w:space="0"/>
              <w:left w:val="single" w:color="auto" w:sz="4" w:space="0"/>
              <w:bottom w:val="single" w:color="auto" w:sz="4" w:space="0"/>
              <w:right w:val="single" w:color="auto" w:sz="4" w:space="0"/>
            </w:tcBorders>
            <w:vAlign w:val="center"/>
          </w:tcPr>
          <w:p>
            <w:pPr>
              <w:pStyle w:val="5"/>
              <w:jc w:val="center"/>
              <w:rPr>
                <w:color w:val="auto"/>
              </w:rPr>
            </w:pPr>
            <w:r>
              <w:rPr>
                <w:rFonts w:hint="eastAsia"/>
                <w:color w:val="auto"/>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472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945"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472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945"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472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945"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472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945" w:type="dxa"/>
            <w:tcBorders>
              <w:top w:val="single" w:color="auto" w:sz="4" w:space="0"/>
              <w:left w:val="single" w:color="auto" w:sz="4" w:space="0"/>
              <w:bottom w:val="single" w:color="auto" w:sz="4" w:space="0"/>
              <w:right w:val="single" w:color="auto" w:sz="4" w:space="0"/>
            </w:tcBorders>
          </w:tcPr>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3"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4725"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945" w:type="dxa"/>
            <w:tcBorders>
              <w:top w:val="single" w:color="auto" w:sz="4" w:space="0"/>
              <w:left w:val="single" w:color="auto" w:sz="4" w:space="0"/>
              <w:bottom w:val="single" w:color="auto" w:sz="4" w:space="0"/>
              <w:right w:val="single" w:color="auto" w:sz="4" w:space="0"/>
            </w:tcBorders>
          </w:tcPr>
          <w:p>
            <w:pPr>
              <w:pStyle w:val="5"/>
              <w:rPr>
                <w:color w:val="auto"/>
              </w:rPr>
            </w:pPr>
          </w:p>
        </w:tc>
      </w:tr>
    </w:tbl>
    <w:p>
      <w:pPr>
        <w:pStyle w:val="5"/>
        <w:rPr>
          <w:color w:val="auto"/>
        </w:rPr>
      </w:pPr>
    </w:p>
    <w:p>
      <w:pPr>
        <w:pStyle w:val="5"/>
        <w:rPr>
          <w:color w:val="auto"/>
        </w:rPr>
      </w:pPr>
      <w:r>
        <w:rPr>
          <w:rFonts w:hint="eastAsia"/>
          <w:color w:val="auto"/>
        </w:rPr>
        <w:t xml:space="preserve">    </w:t>
      </w:r>
    </w:p>
    <w:p>
      <w:pPr>
        <w:pStyle w:val="5"/>
        <w:rPr>
          <w:color w:val="auto"/>
        </w:rPr>
      </w:pPr>
    </w:p>
    <w:p>
      <w:pPr>
        <w:spacing w:line="360" w:lineRule="auto"/>
        <w:rPr>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pStyle w:val="3"/>
        <w:tabs>
          <w:tab w:val="left" w:pos="420"/>
        </w:tabs>
        <w:spacing w:before="120" w:after="120"/>
        <w:ind w:left="851"/>
        <w:rPr>
          <w:rFonts w:hAnsi="宋体"/>
          <w:color w:val="auto"/>
          <w:sz w:val="30"/>
        </w:rPr>
      </w:pPr>
      <w:r>
        <w:rPr>
          <w:rFonts w:hint="eastAsia" w:ascii="宋体"/>
          <w:b w:val="0"/>
          <w:bCs w:val="0"/>
          <w:color w:val="auto"/>
          <w:sz w:val="24"/>
          <w:szCs w:val="24"/>
        </w:rPr>
        <w:br w:type="page"/>
      </w:r>
      <w:r>
        <w:rPr>
          <w:rFonts w:hint="eastAsia" w:hAnsi="宋体"/>
          <w:b w:val="0"/>
          <w:bCs w:val="0"/>
          <w:color w:val="auto"/>
        </w:rPr>
        <w:t>附表4.8格式</w:t>
      </w:r>
    </w:p>
    <w:p>
      <w:pPr>
        <w:pStyle w:val="5"/>
        <w:ind w:firstLine="602"/>
        <w:jc w:val="center"/>
        <w:rPr>
          <w:b/>
          <w:color w:val="auto"/>
          <w:sz w:val="30"/>
        </w:rPr>
      </w:pPr>
      <w:r>
        <w:rPr>
          <w:rFonts w:hint="eastAsia"/>
          <w:b/>
          <w:color w:val="auto"/>
          <w:sz w:val="30"/>
        </w:rPr>
        <w:t>地理位置及平面示意图</w:t>
      </w:r>
    </w:p>
    <w:p>
      <w:pPr>
        <w:pStyle w:val="5"/>
        <w:ind w:firstLine="482"/>
        <w:jc w:val="center"/>
        <w:rPr>
          <w:b/>
          <w:color w:val="auto"/>
          <w:sz w:val="24"/>
        </w:rPr>
      </w:pPr>
      <w:r>
        <w:rPr>
          <w:rFonts w:hint="eastAsia"/>
          <w:b/>
          <w:color w:val="auto"/>
          <w:sz w:val="24"/>
        </w:rPr>
        <w:t>（分各油站列）</w:t>
      </w:r>
    </w:p>
    <w:p>
      <w:pPr>
        <w:pStyle w:val="5"/>
        <w:ind w:firstLine="602"/>
        <w:jc w:val="center"/>
        <w:rPr>
          <w:b/>
          <w:color w:val="auto"/>
          <w:sz w:val="30"/>
        </w:rPr>
      </w:pPr>
    </w:p>
    <w:p>
      <w:pPr>
        <w:pStyle w:val="5"/>
        <w:numPr>
          <w:ilvl w:val="0"/>
          <w:numId w:val="14"/>
        </w:numPr>
        <w:ind w:firstLineChars="0"/>
        <w:rPr>
          <w:color w:val="auto"/>
        </w:rPr>
      </w:pPr>
      <w:r>
        <w:rPr>
          <w:rFonts w:hint="eastAsia"/>
          <w:color w:val="auto"/>
        </w:rPr>
        <w:t>经营场所地理位置示意图</w:t>
      </w: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numPr>
          <w:ilvl w:val="0"/>
          <w:numId w:val="14"/>
        </w:numPr>
        <w:ind w:firstLineChars="0"/>
        <w:rPr>
          <w:color w:val="auto"/>
        </w:rPr>
      </w:pPr>
      <w:r>
        <w:rPr>
          <w:rFonts w:hint="eastAsia"/>
          <w:color w:val="auto"/>
        </w:rPr>
        <w:t>经营场所分布平面示意图</w:t>
      </w: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spacing w:line="360" w:lineRule="auto"/>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spacing w:line="360" w:lineRule="auto"/>
        <w:rPr>
          <w:rFonts w:ascii="宋体"/>
          <w:color w:val="auto"/>
        </w:rPr>
        <w:sectPr>
          <w:pgSz w:w="11907" w:h="16840"/>
          <w:pgMar w:top="1418" w:right="1304" w:bottom="1246" w:left="1304" w:header="851" w:footer="851" w:gutter="0"/>
          <w:cols w:space="720" w:num="1"/>
        </w:sectPr>
      </w:pPr>
    </w:p>
    <w:p>
      <w:pPr>
        <w:pStyle w:val="5"/>
        <w:ind w:firstLine="602"/>
        <w:rPr>
          <w:b/>
          <w:bCs/>
          <w:color w:val="auto"/>
        </w:rPr>
      </w:pPr>
      <w:r>
        <w:rPr>
          <w:rFonts w:hint="eastAsia"/>
          <w:b/>
          <w:bCs/>
          <w:color w:val="auto"/>
          <w:sz w:val="30"/>
        </w:rPr>
        <w:t>附表4.9格式、诉讼情况</w:t>
      </w:r>
    </w:p>
    <w:p>
      <w:pPr>
        <w:pStyle w:val="5"/>
        <w:rPr>
          <w:color w:val="auto"/>
        </w:rPr>
      </w:pPr>
    </w:p>
    <w:p>
      <w:pPr>
        <w:pStyle w:val="5"/>
        <w:rPr>
          <w:color w:val="auto"/>
        </w:rPr>
      </w:pPr>
      <w:r>
        <w:rPr>
          <w:rFonts w:hint="eastAsia"/>
          <w:color w:val="auto"/>
        </w:rPr>
        <w:t>投标人目前涉及的诉讼案件或仲裁的资料：</w:t>
      </w:r>
    </w:p>
    <w:tbl>
      <w:tblPr>
        <w:tblStyle w:val="5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2"/>
        <w:gridCol w:w="3171"/>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3172" w:type="dxa"/>
            <w:tcBorders>
              <w:top w:val="single" w:color="auto" w:sz="4" w:space="0"/>
              <w:left w:val="single" w:color="auto" w:sz="4" w:space="0"/>
              <w:bottom w:val="single" w:color="auto" w:sz="4" w:space="0"/>
              <w:right w:val="single" w:color="auto" w:sz="4" w:space="0"/>
            </w:tcBorders>
          </w:tcPr>
          <w:p>
            <w:pPr>
              <w:pStyle w:val="5"/>
              <w:rPr>
                <w:color w:val="auto"/>
              </w:rPr>
            </w:pPr>
            <w:r>
              <w:rPr>
                <w:rFonts w:hint="eastAsia"/>
                <w:color w:val="auto"/>
              </w:rPr>
              <w:t>涉及的另一方或几方</w:t>
            </w:r>
          </w:p>
        </w:tc>
        <w:tc>
          <w:tcPr>
            <w:tcW w:w="3171" w:type="dxa"/>
            <w:tcBorders>
              <w:top w:val="single" w:color="auto" w:sz="4" w:space="0"/>
              <w:left w:val="single" w:color="auto" w:sz="4" w:space="0"/>
              <w:bottom w:val="single" w:color="auto" w:sz="4" w:space="0"/>
              <w:right w:val="single" w:color="auto" w:sz="4" w:space="0"/>
            </w:tcBorders>
          </w:tcPr>
          <w:p>
            <w:pPr>
              <w:pStyle w:val="5"/>
              <w:rPr>
                <w:color w:val="auto"/>
              </w:rPr>
            </w:pPr>
            <w:r>
              <w:rPr>
                <w:rFonts w:hint="eastAsia"/>
                <w:color w:val="auto"/>
              </w:rPr>
              <w:t>争端的原因</w:t>
            </w:r>
          </w:p>
        </w:tc>
        <w:tc>
          <w:tcPr>
            <w:tcW w:w="3172" w:type="dxa"/>
            <w:tcBorders>
              <w:top w:val="single" w:color="auto" w:sz="4" w:space="0"/>
              <w:left w:val="single" w:color="auto" w:sz="4" w:space="0"/>
              <w:bottom w:val="single" w:color="auto" w:sz="4" w:space="0"/>
              <w:right w:val="single" w:color="auto" w:sz="4" w:space="0"/>
            </w:tcBorders>
          </w:tcPr>
          <w:p>
            <w:pPr>
              <w:pStyle w:val="5"/>
              <w:rPr>
                <w:color w:val="auto"/>
              </w:rPr>
            </w:pPr>
            <w:r>
              <w:rPr>
                <w:rFonts w:hint="eastAsia"/>
                <w:color w:val="auto"/>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3172"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171" w:type="dxa"/>
            <w:tcBorders>
              <w:top w:val="single" w:color="auto" w:sz="4" w:space="0"/>
              <w:left w:val="single" w:color="auto" w:sz="4" w:space="0"/>
              <w:bottom w:val="single" w:color="auto" w:sz="4" w:space="0"/>
              <w:right w:val="single" w:color="auto" w:sz="4" w:space="0"/>
            </w:tcBorders>
          </w:tcPr>
          <w:p>
            <w:pPr>
              <w:pStyle w:val="5"/>
              <w:rPr>
                <w:color w:val="auto"/>
              </w:rPr>
            </w:pPr>
          </w:p>
        </w:tc>
        <w:tc>
          <w:tcPr>
            <w:tcW w:w="3172" w:type="dxa"/>
            <w:tcBorders>
              <w:top w:val="single" w:color="auto" w:sz="4" w:space="0"/>
              <w:left w:val="single" w:color="auto" w:sz="4" w:space="0"/>
              <w:bottom w:val="single" w:color="auto" w:sz="4" w:space="0"/>
              <w:right w:val="single" w:color="auto" w:sz="4" w:space="0"/>
            </w:tcBorders>
          </w:tcPr>
          <w:p>
            <w:pPr>
              <w:pStyle w:val="5"/>
              <w:rPr>
                <w:color w:val="auto"/>
              </w:rPr>
            </w:pPr>
          </w:p>
        </w:tc>
      </w:tr>
    </w:tbl>
    <w:p>
      <w:pPr>
        <w:pStyle w:val="5"/>
        <w:rPr>
          <w:color w:val="auto"/>
        </w:rPr>
      </w:pPr>
    </w:p>
    <w:p>
      <w:pPr>
        <w:spacing w:line="360" w:lineRule="auto"/>
        <w:ind w:firstLine="5790"/>
        <w:rPr>
          <w:color w:val="auto"/>
        </w:rPr>
      </w:pPr>
      <w:r>
        <w:rPr>
          <w:rFonts w:hint="eastAsia"/>
          <w:color w:val="auto"/>
        </w:rPr>
        <w:t>投标人（法人公章）：</w:t>
      </w:r>
    </w:p>
    <w:p>
      <w:pPr>
        <w:spacing w:line="360" w:lineRule="auto"/>
        <w:ind w:firstLine="5790"/>
        <w:rPr>
          <w:color w:val="auto"/>
        </w:rPr>
      </w:pPr>
    </w:p>
    <w:p>
      <w:pPr>
        <w:spacing w:line="360" w:lineRule="auto"/>
        <w:ind w:firstLine="5790"/>
        <w:rPr>
          <w:color w:val="auto"/>
        </w:rPr>
      </w:pPr>
      <w:r>
        <w:rPr>
          <w:rFonts w:hint="eastAsia"/>
          <w:color w:val="auto"/>
        </w:rPr>
        <w:t>授权代表（签名或盖章）：</w:t>
      </w:r>
    </w:p>
    <w:p>
      <w:pPr>
        <w:spacing w:line="360" w:lineRule="auto"/>
        <w:ind w:firstLine="5790"/>
        <w:rPr>
          <w:color w:val="auto"/>
        </w:rPr>
      </w:pPr>
    </w:p>
    <w:p>
      <w:pPr>
        <w:spacing w:line="360" w:lineRule="auto"/>
        <w:ind w:firstLine="5790"/>
        <w:rPr>
          <w:color w:val="auto"/>
        </w:rPr>
      </w:pPr>
      <w:r>
        <w:rPr>
          <w:rFonts w:hint="eastAsia"/>
          <w:color w:val="auto"/>
        </w:rPr>
        <w:t>日</w:t>
      </w:r>
      <w:r>
        <w:rPr>
          <w:color w:val="auto"/>
        </w:rPr>
        <w:t xml:space="preserve">         </w:t>
      </w:r>
      <w:r>
        <w:rPr>
          <w:rFonts w:hint="eastAsia"/>
          <w:color w:val="auto"/>
        </w:rPr>
        <w:t>期：</w:t>
      </w:r>
    </w:p>
    <w:p>
      <w:pPr>
        <w:spacing w:line="360" w:lineRule="auto"/>
        <w:rPr>
          <w:rFonts w:ascii="宋体"/>
          <w:color w:val="auto"/>
        </w:rPr>
        <w:sectPr>
          <w:pgSz w:w="11907" w:h="16840"/>
          <w:pgMar w:top="1418" w:right="1304" w:bottom="1246" w:left="1304" w:header="851" w:footer="851" w:gutter="0"/>
          <w:cols w:space="720" w:num="1"/>
        </w:sectPr>
      </w:pPr>
    </w:p>
    <w:p>
      <w:pPr>
        <w:pStyle w:val="3"/>
        <w:tabs>
          <w:tab w:val="left" w:pos="420"/>
        </w:tabs>
        <w:spacing w:before="120" w:after="120"/>
        <w:ind w:left="851"/>
        <w:rPr>
          <w:color w:val="auto"/>
          <w:sz w:val="30"/>
        </w:rPr>
      </w:pPr>
      <w:bookmarkStart w:id="23" w:name="_Toc531668436"/>
      <w:bookmarkStart w:id="24" w:name="_Toc523221405"/>
      <w:r>
        <w:rPr>
          <w:rFonts w:hint="eastAsia"/>
          <w:b w:val="0"/>
          <w:bCs w:val="0"/>
          <w:color w:val="auto"/>
          <w:sz w:val="30"/>
        </w:rPr>
        <w:t>五、合同响</w:t>
      </w:r>
      <w:bookmarkStart w:id="25" w:name="_Hlt523221319"/>
      <w:bookmarkEnd w:id="25"/>
      <w:r>
        <w:rPr>
          <w:rFonts w:hint="eastAsia"/>
          <w:b w:val="0"/>
          <w:bCs w:val="0"/>
          <w:color w:val="auto"/>
          <w:sz w:val="30"/>
        </w:rPr>
        <w:t>应</w:t>
      </w:r>
      <w:bookmarkStart w:id="26" w:name="_Hlt523221334"/>
      <w:bookmarkEnd w:id="26"/>
      <w:r>
        <w:rPr>
          <w:rFonts w:hint="eastAsia"/>
          <w:b w:val="0"/>
          <w:bCs w:val="0"/>
          <w:color w:val="auto"/>
          <w:sz w:val="30"/>
        </w:rPr>
        <w:t>格式</w:t>
      </w:r>
      <w:bookmarkEnd w:id="23"/>
      <w:bookmarkEnd w:id="24"/>
    </w:p>
    <w:p>
      <w:pPr>
        <w:spacing w:line="360" w:lineRule="auto"/>
        <w:jc w:val="center"/>
        <w:rPr>
          <w:rFonts w:ascii="宋体"/>
          <w:b/>
          <w:color w:val="auto"/>
          <w:sz w:val="28"/>
        </w:rPr>
      </w:pPr>
      <w:r>
        <w:rPr>
          <w:rFonts w:hint="eastAsia" w:ascii="宋体"/>
          <w:b/>
          <w:color w:val="auto"/>
          <w:sz w:val="28"/>
        </w:rPr>
        <w:t>合同响应表</w:t>
      </w:r>
    </w:p>
    <w:p>
      <w:pPr>
        <w:spacing w:line="360" w:lineRule="auto"/>
        <w:ind w:left="618" w:hanging="618"/>
        <w:rPr>
          <w:rFonts w:ascii="宋体"/>
          <w:color w:val="auto"/>
        </w:rPr>
      </w:pPr>
      <w:r>
        <w:rPr>
          <w:rFonts w:hint="eastAsia" w:ascii="宋体"/>
          <w:color w:val="auto"/>
        </w:rPr>
        <w:t>[说明]投标人应对照招标文件要求与投标的实际情况对招标文件中《合同书》的条款内容作全面响应。完全满足的在“响应栏”中打“√”，若有差异的请在“差异栏”中打“Ο”，并将差异情况在差异表说明。</w:t>
      </w:r>
    </w:p>
    <w:tbl>
      <w:tblPr>
        <w:tblStyle w:val="58"/>
        <w:tblW w:w="9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927"/>
        <w:gridCol w:w="4549"/>
        <w:gridCol w:w="91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b/>
                <w:color w:val="auto"/>
              </w:rPr>
            </w:pPr>
            <w:r>
              <w:rPr>
                <w:rFonts w:hint="eastAsia" w:ascii="宋体"/>
                <w:b/>
                <w:color w:val="auto"/>
              </w:rPr>
              <w:t>序号</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b/>
                <w:color w:val="auto"/>
              </w:rPr>
            </w:pPr>
            <w:r>
              <w:rPr>
                <w:rFonts w:hint="eastAsia" w:ascii="宋体"/>
                <w:b/>
                <w:color w:val="auto"/>
              </w:rPr>
              <w:t>条款号</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b/>
                <w:color w:val="auto"/>
              </w:rPr>
            </w:pPr>
            <w:r>
              <w:rPr>
                <w:rFonts w:hint="eastAsia" w:ascii="宋体"/>
                <w:b/>
                <w:color w:val="auto"/>
              </w:rPr>
              <w:t>合同条款题目</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b/>
                <w:color w:val="auto"/>
              </w:rPr>
            </w:pPr>
            <w:r>
              <w:rPr>
                <w:rFonts w:hint="eastAsia" w:ascii="宋体"/>
                <w:b/>
                <w:color w:val="auto"/>
              </w:rPr>
              <w:t>响应</w:t>
            </w:r>
          </w:p>
        </w:tc>
        <w:tc>
          <w:tcPr>
            <w:tcW w:w="2163"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b/>
                <w:color w:val="auto"/>
              </w:rPr>
            </w:pPr>
            <w:r>
              <w:rPr>
                <w:rFonts w:hint="eastAsia" w:ascii="宋体"/>
                <w:b/>
                <w:color w:val="auto"/>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1</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一</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color w:val="auto"/>
              </w:rPr>
            </w:pPr>
            <w:r>
              <w:rPr>
                <w:rFonts w:hint="eastAsia" w:ascii="宋体"/>
                <w:color w:val="auto"/>
              </w:rPr>
              <w:t>乙方向甲方提供的服务项目</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2</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二</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费用及结算</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3</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履约保证金</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4</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四</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甲方的权利和义务</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5</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五</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乙方的权利和义务</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6</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六</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违约责任</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7</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七</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不可抗力</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8</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八</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合同的期限与终止</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9</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九</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争议的解决</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10</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十</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r>
              <w:rPr>
                <w:rFonts w:hint="eastAsia" w:ascii="宋体"/>
                <w:b/>
                <w:bCs/>
                <w:color w:val="auto"/>
              </w:rPr>
              <w:t>附则</w:t>
            </w: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11</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十一</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4" w:type="dxa"/>
            <w:tcBorders>
              <w:top w:val="single" w:color="auto" w:sz="4" w:space="0"/>
              <w:left w:val="single" w:color="auto" w:sz="4" w:space="0"/>
              <w:bottom w:val="single" w:color="auto" w:sz="4" w:space="0"/>
              <w:right w:val="single" w:color="auto" w:sz="4" w:space="0"/>
            </w:tcBorders>
            <w:vAlign w:val="center"/>
          </w:tcPr>
          <w:p>
            <w:pPr>
              <w:spacing w:line="200" w:lineRule="atLeast"/>
              <w:ind w:right="196" w:firstLine="152"/>
              <w:jc w:val="distribute"/>
              <w:rPr>
                <w:rFonts w:ascii="宋体"/>
                <w:color w:val="auto"/>
              </w:rPr>
            </w:pPr>
            <w:r>
              <w:rPr>
                <w:rFonts w:hint="eastAsia" w:ascii="宋体"/>
                <w:color w:val="auto"/>
              </w:rPr>
              <w:t>12</w:t>
            </w:r>
          </w:p>
        </w:tc>
        <w:tc>
          <w:tcPr>
            <w:tcW w:w="927"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r>
              <w:rPr>
                <w:rFonts w:hint="eastAsia" w:ascii="宋体"/>
                <w:color w:val="auto"/>
              </w:rPr>
              <w:t>十二</w:t>
            </w:r>
          </w:p>
        </w:tc>
        <w:tc>
          <w:tcPr>
            <w:tcW w:w="4549"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b/>
                <w:bCs/>
                <w:color w:val="auto"/>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color w:val="auto"/>
              </w:rPr>
            </w:pPr>
          </w:p>
        </w:tc>
        <w:tc>
          <w:tcPr>
            <w:tcW w:w="2163" w:type="dxa"/>
            <w:tcBorders>
              <w:top w:val="single" w:color="auto" w:sz="4" w:space="0"/>
              <w:left w:val="single" w:color="auto" w:sz="4" w:space="0"/>
              <w:bottom w:val="single" w:color="auto" w:sz="4" w:space="0"/>
              <w:right w:val="single" w:color="auto" w:sz="4" w:space="0"/>
            </w:tcBorders>
          </w:tcPr>
          <w:p>
            <w:pPr>
              <w:spacing w:line="200" w:lineRule="atLeast"/>
              <w:rPr>
                <w:rFonts w:ascii="宋体"/>
                <w:color w:val="auto"/>
              </w:rPr>
            </w:pPr>
          </w:p>
        </w:tc>
      </w:tr>
    </w:tbl>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r>
        <w:rPr>
          <w:rFonts w:hint="eastAsia" w:ascii="宋体"/>
          <w:color w:val="auto"/>
        </w:rPr>
        <w:t xml:space="preserve">                                               投标人（盖章）：</w:t>
      </w:r>
    </w:p>
    <w:p>
      <w:pPr>
        <w:rPr>
          <w:rFonts w:ascii="宋体"/>
          <w:color w:val="auto"/>
        </w:rPr>
      </w:pPr>
    </w:p>
    <w:p>
      <w:pPr>
        <w:rPr>
          <w:rFonts w:ascii="宋体"/>
          <w:color w:val="auto"/>
        </w:rPr>
      </w:pPr>
    </w:p>
    <w:p>
      <w:pPr>
        <w:rPr>
          <w:rFonts w:ascii="宋体"/>
          <w:color w:val="auto"/>
        </w:rPr>
      </w:pPr>
      <w:r>
        <w:rPr>
          <w:rFonts w:hint="eastAsia" w:ascii="宋体"/>
          <w:color w:val="auto"/>
        </w:rPr>
        <w:t xml:space="preserve">                                               授权代表（签字或盖章）：</w:t>
      </w:r>
    </w:p>
    <w:p>
      <w:pPr>
        <w:rPr>
          <w:rFonts w:ascii="宋体"/>
          <w:color w:val="auto"/>
        </w:rPr>
      </w:pPr>
    </w:p>
    <w:p>
      <w:pPr>
        <w:rPr>
          <w:rFonts w:ascii="宋体"/>
          <w:color w:val="auto"/>
        </w:rPr>
      </w:pPr>
    </w:p>
    <w:p>
      <w:pPr>
        <w:spacing w:line="360" w:lineRule="auto"/>
        <w:rPr>
          <w:rFonts w:ascii="宋体"/>
          <w:b/>
          <w:color w:val="auto"/>
        </w:rPr>
      </w:pPr>
      <w:r>
        <w:rPr>
          <w:rFonts w:hint="eastAsia" w:ascii="宋体"/>
          <w:color w:val="auto"/>
        </w:rPr>
        <w:t xml:space="preserve">                                                日        期：</w:t>
      </w:r>
    </w:p>
    <w:p>
      <w:pPr>
        <w:spacing w:line="360" w:lineRule="auto"/>
        <w:rPr>
          <w:rFonts w:ascii="宋体"/>
          <w:b/>
          <w:color w:val="auto"/>
          <w:sz w:val="30"/>
        </w:rPr>
      </w:pPr>
    </w:p>
    <w:p>
      <w:pPr>
        <w:pStyle w:val="3"/>
        <w:tabs>
          <w:tab w:val="left" w:pos="420"/>
        </w:tabs>
        <w:spacing w:before="120" w:after="120"/>
        <w:ind w:left="851"/>
        <w:rPr>
          <w:rFonts w:ascii="宋体"/>
          <w:b w:val="0"/>
          <w:color w:val="auto"/>
          <w:sz w:val="24"/>
        </w:rPr>
      </w:pPr>
      <w:r>
        <w:rPr>
          <w:rFonts w:hint="eastAsia" w:ascii="宋体"/>
          <w:b w:val="0"/>
          <w:bCs w:val="0"/>
          <w:color w:val="auto"/>
          <w:sz w:val="24"/>
          <w:szCs w:val="24"/>
        </w:rPr>
        <w:br w:type="page"/>
      </w:r>
      <w:bookmarkStart w:id="27" w:name="_Toc531668437"/>
      <w:r>
        <w:rPr>
          <w:rFonts w:hint="eastAsia"/>
          <w:b w:val="0"/>
          <w:bCs w:val="0"/>
          <w:color w:val="auto"/>
          <w:sz w:val="30"/>
        </w:rPr>
        <w:t>六、商务/用户需求差异表格式</w:t>
      </w:r>
      <w:bookmarkEnd w:id="27"/>
    </w:p>
    <w:p>
      <w:pPr>
        <w:spacing w:line="480" w:lineRule="exact"/>
        <w:jc w:val="center"/>
        <w:rPr>
          <w:rFonts w:ascii="宋体"/>
          <w:b/>
          <w:color w:val="auto"/>
          <w:sz w:val="28"/>
        </w:rPr>
      </w:pPr>
      <w:r>
        <w:rPr>
          <w:rFonts w:hint="eastAsia" w:ascii="宋体"/>
          <w:b/>
          <w:color w:val="auto"/>
          <w:sz w:val="28"/>
        </w:rPr>
        <w:t>商务/用户需求差异表</w:t>
      </w:r>
    </w:p>
    <w:p>
      <w:pPr>
        <w:spacing w:line="480" w:lineRule="exact"/>
        <w:jc w:val="center"/>
        <w:rPr>
          <w:rFonts w:ascii="宋体"/>
          <w:b/>
          <w:color w:val="auto"/>
          <w:sz w:val="32"/>
        </w:rPr>
      </w:pPr>
    </w:p>
    <w:p>
      <w:pPr>
        <w:spacing w:line="480" w:lineRule="exact"/>
        <w:rPr>
          <w:rFonts w:ascii="宋体"/>
          <w:color w:val="auto"/>
        </w:rPr>
      </w:pPr>
      <w:r>
        <w:rPr>
          <w:rFonts w:hint="eastAsia" w:ascii="宋体"/>
          <w:color w:val="auto"/>
        </w:rPr>
        <w:t>[说明]投标人应根据其提供的服务，对照招标文件中的用户需求或商务的要求，有差异的，则在差异表中写明实际响应的具体内容。</w:t>
      </w:r>
    </w:p>
    <w:p>
      <w:pPr>
        <w:tabs>
          <w:tab w:val="left" w:pos="1080"/>
          <w:tab w:val="left" w:pos="2160"/>
          <w:tab w:val="left" w:pos="3240"/>
          <w:tab w:val="left" w:pos="4320"/>
          <w:tab w:val="left" w:pos="5400"/>
        </w:tabs>
        <w:autoSpaceDE w:val="0"/>
        <w:autoSpaceDN w:val="0"/>
        <w:adjustRightInd w:val="0"/>
        <w:jc w:val="center"/>
        <w:rPr>
          <w:rFonts w:ascii="宋体"/>
          <w:color w:val="auto"/>
        </w:rPr>
      </w:pPr>
    </w:p>
    <w:tbl>
      <w:tblPr>
        <w:tblStyle w:val="58"/>
        <w:tblW w:w="8925" w:type="dxa"/>
        <w:tblInd w:w="345" w:type="dxa"/>
        <w:tblLayout w:type="fixed"/>
        <w:tblCellMar>
          <w:top w:w="0" w:type="dxa"/>
          <w:left w:w="30" w:type="dxa"/>
          <w:bottom w:w="0" w:type="dxa"/>
          <w:right w:w="30" w:type="dxa"/>
        </w:tblCellMar>
      </w:tblPr>
      <w:tblGrid>
        <w:gridCol w:w="945"/>
        <w:gridCol w:w="870"/>
        <w:gridCol w:w="2910"/>
        <w:gridCol w:w="945"/>
        <w:gridCol w:w="3255"/>
      </w:tblGrid>
      <w:tr>
        <w:tblPrEx>
          <w:tblLayout w:type="fixed"/>
          <w:tblCellMar>
            <w:top w:w="0" w:type="dxa"/>
            <w:left w:w="30" w:type="dxa"/>
            <w:bottom w:w="0" w:type="dxa"/>
            <w:right w:w="30" w:type="dxa"/>
          </w:tblCellMar>
        </w:tblPrEx>
        <w:trPr>
          <w:cantSplit/>
          <w:trHeight w:val="584" w:hRule="atLeast"/>
        </w:trPr>
        <w:tc>
          <w:tcPr>
            <w:tcW w:w="945"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color w:val="auto"/>
              </w:rPr>
            </w:pPr>
            <w:r>
              <w:rPr>
                <w:rFonts w:hint="eastAsia" w:ascii="宋体"/>
                <w:color w:val="auto"/>
              </w:rPr>
              <w:t>序号</w:t>
            </w:r>
          </w:p>
        </w:tc>
        <w:tc>
          <w:tcPr>
            <w:tcW w:w="3780" w:type="dxa"/>
            <w:gridSpan w:val="2"/>
            <w:tcBorders>
              <w:top w:val="single" w:color="auto" w:sz="12" w:space="0"/>
              <w:left w:val="single" w:color="auto" w:sz="6" w:space="0"/>
              <w:bottom w:val="single" w:color="auto" w:sz="6" w:space="0"/>
              <w:right w:val="nil"/>
            </w:tcBorders>
            <w:vAlign w:val="center"/>
          </w:tcPr>
          <w:p>
            <w:pPr>
              <w:autoSpaceDE w:val="0"/>
              <w:autoSpaceDN w:val="0"/>
              <w:adjustRightInd w:val="0"/>
              <w:jc w:val="center"/>
              <w:rPr>
                <w:rFonts w:ascii="宋体"/>
                <w:color w:val="auto"/>
              </w:rPr>
            </w:pPr>
            <w:r>
              <w:rPr>
                <w:rFonts w:hint="eastAsia" w:ascii="宋体"/>
                <w:color w:val="auto"/>
              </w:rPr>
              <w:t>招标文件要求</w:t>
            </w:r>
          </w:p>
        </w:tc>
        <w:tc>
          <w:tcPr>
            <w:tcW w:w="4200" w:type="dxa"/>
            <w:gridSpan w:val="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color w:val="auto"/>
              </w:rPr>
            </w:pPr>
            <w:r>
              <w:rPr>
                <w:rFonts w:hint="eastAsia" w:ascii="宋体"/>
                <w:color w:val="auto"/>
              </w:rPr>
              <w:t>投标文件内容</w:t>
            </w:r>
          </w:p>
        </w:tc>
      </w:tr>
      <w:tr>
        <w:tblPrEx>
          <w:tblLayout w:type="fixed"/>
          <w:tblCellMar>
            <w:top w:w="0" w:type="dxa"/>
            <w:left w:w="30" w:type="dxa"/>
            <w:bottom w:w="0" w:type="dxa"/>
            <w:right w:w="30" w:type="dxa"/>
          </w:tblCellMar>
        </w:tblPrEx>
        <w:trPr>
          <w:cantSplit/>
          <w:trHeight w:val="607" w:hRule="atLeast"/>
        </w:trPr>
        <w:tc>
          <w:tcPr>
            <w:tcW w:w="945" w:type="dxa"/>
            <w:vMerge w:val="continue"/>
            <w:tcBorders>
              <w:top w:val="single" w:color="auto" w:sz="12" w:space="0"/>
              <w:left w:val="single" w:color="auto" w:sz="12" w:space="0"/>
              <w:bottom w:val="single" w:color="auto" w:sz="6" w:space="0"/>
              <w:right w:val="single" w:color="auto" w:sz="6" w:space="0"/>
            </w:tcBorders>
            <w:vAlign w:val="center"/>
          </w:tcPr>
          <w:p>
            <w:pPr>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auto"/>
              </w:rPr>
            </w:pPr>
            <w:r>
              <w:rPr>
                <w:rFonts w:hint="eastAsia" w:ascii="宋体"/>
                <w:b/>
                <w:color w:val="auto"/>
              </w:rPr>
              <w:t>条款号</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auto"/>
              </w:rPr>
            </w:pPr>
            <w:r>
              <w:rPr>
                <w:rFonts w:hint="eastAsia" w:ascii="宋体"/>
                <w:color w:val="auto"/>
              </w:rPr>
              <w:t>简要内容</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auto"/>
              </w:rPr>
            </w:pPr>
            <w:r>
              <w:rPr>
                <w:rFonts w:hint="eastAsia" w:ascii="宋体"/>
                <w:b/>
                <w:color w:val="auto"/>
              </w:rPr>
              <w:t>条款号</w:t>
            </w:r>
          </w:p>
        </w:tc>
        <w:tc>
          <w:tcPr>
            <w:tcW w:w="325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color w:val="auto"/>
              </w:rPr>
            </w:pPr>
            <w:r>
              <w:rPr>
                <w:rFonts w:hint="eastAsia" w:ascii="宋体"/>
                <w:color w:val="auto"/>
              </w:rPr>
              <w:t>实际响应的具体内容</w:t>
            </w: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521"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6"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6"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outlineLvl w:val="0"/>
              <w:rPr>
                <w:rFonts w:ascii="宋体"/>
                <w:color w:val="auto"/>
              </w:rPr>
            </w:pPr>
          </w:p>
        </w:tc>
        <w:tc>
          <w:tcPr>
            <w:tcW w:w="32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right"/>
              <w:rPr>
                <w:rFonts w:ascii="宋体"/>
                <w:color w:val="auto"/>
              </w:rPr>
            </w:pPr>
          </w:p>
        </w:tc>
      </w:tr>
      <w:tr>
        <w:tblPrEx>
          <w:tblLayout w:type="fixed"/>
          <w:tblCellMar>
            <w:top w:w="0" w:type="dxa"/>
            <w:left w:w="30" w:type="dxa"/>
            <w:bottom w:w="0" w:type="dxa"/>
            <w:right w:w="30" w:type="dxa"/>
          </w:tblCellMar>
        </w:tblPrEx>
        <w:trPr>
          <w:cantSplit/>
          <w:trHeight w:val="440" w:hRule="exact"/>
        </w:trPr>
        <w:tc>
          <w:tcPr>
            <w:tcW w:w="945" w:type="dxa"/>
            <w:tcBorders>
              <w:top w:val="single" w:color="auto" w:sz="6" w:space="0"/>
              <w:left w:val="single" w:color="auto" w:sz="12" w:space="0"/>
              <w:bottom w:val="single" w:color="auto" w:sz="12" w:space="0"/>
              <w:right w:val="single" w:color="auto" w:sz="6" w:space="0"/>
            </w:tcBorders>
            <w:vAlign w:val="center"/>
          </w:tcPr>
          <w:p>
            <w:pPr>
              <w:spacing w:line="200" w:lineRule="atLeast"/>
              <w:ind w:right="196" w:firstLine="152"/>
              <w:jc w:val="distribute"/>
              <w:rPr>
                <w:rFonts w:ascii="宋体"/>
                <w:color w:val="auto"/>
              </w:rPr>
            </w:pPr>
          </w:p>
        </w:tc>
        <w:tc>
          <w:tcPr>
            <w:tcW w:w="870" w:type="dxa"/>
            <w:tcBorders>
              <w:top w:val="single" w:color="auto" w:sz="6" w:space="0"/>
              <w:left w:val="single" w:color="auto" w:sz="6" w:space="0"/>
              <w:bottom w:val="single" w:color="auto" w:sz="12" w:space="0"/>
              <w:right w:val="single" w:color="auto" w:sz="6" w:space="0"/>
            </w:tcBorders>
            <w:vAlign w:val="center"/>
          </w:tcPr>
          <w:p>
            <w:pPr>
              <w:spacing w:line="200" w:lineRule="atLeast"/>
              <w:jc w:val="center"/>
              <w:rPr>
                <w:rFonts w:ascii="宋体"/>
                <w:color w:val="auto"/>
              </w:rPr>
            </w:pPr>
          </w:p>
        </w:tc>
        <w:tc>
          <w:tcPr>
            <w:tcW w:w="2910" w:type="dxa"/>
            <w:tcBorders>
              <w:top w:val="single" w:color="auto" w:sz="6" w:space="0"/>
              <w:left w:val="single" w:color="auto" w:sz="6" w:space="0"/>
              <w:bottom w:val="single" w:color="auto" w:sz="12" w:space="0"/>
              <w:right w:val="single" w:color="auto" w:sz="6" w:space="0"/>
            </w:tcBorders>
            <w:vAlign w:val="center"/>
          </w:tcPr>
          <w:p>
            <w:pPr>
              <w:spacing w:line="200" w:lineRule="atLeast"/>
              <w:rPr>
                <w:rFonts w:ascii="宋体"/>
                <w:color w:val="auto"/>
              </w:rPr>
            </w:pPr>
          </w:p>
        </w:tc>
        <w:tc>
          <w:tcPr>
            <w:tcW w:w="945"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right"/>
              <w:outlineLvl w:val="0"/>
              <w:rPr>
                <w:rFonts w:ascii="宋体"/>
                <w:color w:val="auto"/>
              </w:rPr>
            </w:pPr>
          </w:p>
        </w:tc>
        <w:tc>
          <w:tcPr>
            <w:tcW w:w="3255"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right"/>
              <w:rPr>
                <w:rFonts w:ascii="宋体"/>
                <w:color w:val="auto"/>
              </w:rPr>
            </w:pPr>
          </w:p>
        </w:tc>
      </w:tr>
    </w:tbl>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r>
        <w:rPr>
          <w:rFonts w:hint="eastAsia" w:ascii="宋体"/>
          <w:color w:val="auto"/>
        </w:rPr>
        <w:t xml:space="preserve">                                               投标人（法人公章）：</w:t>
      </w:r>
    </w:p>
    <w:p>
      <w:pPr>
        <w:spacing w:line="360" w:lineRule="auto"/>
        <w:rPr>
          <w:rFonts w:ascii="宋体"/>
          <w:color w:val="auto"/>
        </w:rPr>
      </w:pPr>
    </w:p>
    <w:p>
      <w:pPr>
        <w:spacing w:line="360" w:lineRule="auto"/>
        <w:rPr>
          <w:rFonts w:ascii="宋体"/>
          <w:color w:val="auto"/>
        </w:rPr>
      </w:pPr>
      <w:r>
        <w:rPr>
          <w:rFonts w:hint="eastAsia" w:ascii="宋体"/>
          <w:color w:val="auto"/>
        </w:rPr>
        <w:t xml:space="preserve">                                               授权代表（签名或盖章）：</w:t>
      </w:r>
    </w:p>
    <w:p>
      <w:pPr>
        <w:spacing w:line="360" w:lineRule="auto"/>
        <w:rPr>
          <w:rFonts w:ascii="宋体"/>
          <w:color w:val="auto"/>
        </w:rPr>
      </w:pPr>
    </w:p>
    <w:p>
      <w:pPr>
        <w:spacing w:line="360" w:lineRule="auto"/>
        <w:rPr>
          <w:rFonts w:ascii="宋体"/>
          <w:color w:val="auto"/>
        </w:rPr>
      </w:pPr>
      <w:r>
        <w:rPr>
          <w:rFonts w:hint="eastAsia" w:ascii="宋体"/>
          <w:color w:val="auto"/>
        </w:rPr>
        <w:t xml:space="preserve">                                               日         期：</w:t>
      </w:r>
    </w:p>
    <w:p>
      <w:pPr>
        <w:pStyle w:val="4"/>
        <w:ind w:left="0" w:firstLine="0"/>
        <w:rPr>
          <w:color w:val="auto"/>
          <w:szCs w:val="21"/>
        </w:rPr>
      </w:pPr>
    </w:p>
    <w:p>
      <w:pPr>
        <w:pStyle w:val="3"/>
        <w:rPr>
          <w:color w:val="auto"/>
          <w:sz w:val="28"/>
          <w:szCs w:val="28"/>
        </w:rPr>
      </w:pPr>
      <w:r>
        <w:rPr>
          <w:color w:val="auto"/>
          <w:szCs w:val="21"/>
        </w:rPr>
        <w:br w:type="page"/>
      </w:r>
      <w:r>
        <w:rPr>
          <w:rFonts w:hint="eastAsia"/>
          <w:color w:val="auto"/>
        </w:rPr>
        <w:t>七、其它部分</w:t>
      </w:r>
    </w:p>
    <w:p>
      <w:pPr>
        <w:adjustRightInd w:val="0"/>
        <w:snapToGrid w:val="0"/>
        <w:spacing w:beforeLines="50" w:line="360" w:lineRule="auto"/>
        <w:rPr>
          <w:color w:val="auto"/>
          <w:szCs w:val="21"/>
        </w:rPr>
      </w:pPr>
      <w:r>
        <w:rPr>
          <w:rFonts w:hint="eastAsia"/>
          <w:b/>
          <w:color w:val="auto"/>
          <w:sz w:val="28"/>
          <w:szCs w:val="28"/>
        </w:rPr>
        <w:t>7.1</w:t>
      </w:r>
      <w:r>
        <w:rPr>
          <w:color w:val="auto"/>
        </w:rPr>
        <w:fldChar w:fldCharType="begin"/>
      </w:r>
      <w:r>
        <w:rPr>
          <w:color w:val="auto"/>
        </w:rPr>
        <w:instrText xml:space="preserve"> DOCVARIABLE  商务条款响应表开始  \* MERGEFORMAT </w:instrText>
      </w:r>
      <w:r>
        <w:rPr>
          <w:color w:val="auto"/>
        </w:rPr>
        <w:fldChar w:fldCharType="end"/>
      </w:r>
      <w:r>
        <w:rPr>
          <w:color w:val="auto"/>
        </w:rPr>
        <w:fldChar w:fldCharType="begin"/>
      </w:r>
      <w:r>
        <w:rPr>
          <w:color w:val="auto"/>
        </w:rPr>
        <w:instrText xml:space="preserve"> DOCVARIABLE  商务条款响应表开始  \* MERGEFORMAT </w:instrText>
      </w:r>
      <w:r>
        <w:rPr>
          <w:color w:val="auto"/>
        </w:rPr>
        <w:fldChar w:fldCharType="end"/>
      </w:r>
      <w:r>
        <w:rPr>
          <w:rFonts w:hint="eastAsia" w:ascii="宋体"/>
          <w:b/>
          <w:bCs/>
          <w:color w:val="auto"/>
          <w:sz w:val="28"/>
          <w:szCs w:val="28"/>
        </w:rPr>
        <w:t>招标代理服务费承诺书</w:t>
      </w:r>
    </w:p>
    <w:p>
      <w:pPr>
        <w:spacing w:line="360" w:lineRule="auto"/>
        <w:rPr>
          <w:rFonts w:ascii="宋体" w:hAnsi="宋体"/>
          <w:b/>
          <w:color w:val="auto"/>
          <w:szCs w:val="21"/>
        </w:rPr>
      </w:pPr>
    </w:p>
    <w:p>
      <w:pPr>
        <w:spacing w:line="360" w:lineRule="auto"/>
        <w:jc w:val="center"/>
        <w:rPr>
          <w:rFonts w:ascii="宋体"/>
          <w:b/>
          <w:color w:val="auto"/>
          <w:sz w:val="28"/>
        </w:rPr>
      </w:pPr>
      <w:r>
        <w:rPr>
          <w:rFonts w:hint="eastAsia" w:ascii="宋体"/>
          <w:b/>
          <w:color w:val="auto"/>
          <w:sz w:val="28"/>
        </w:rPr>
        <w:t>招标代理服务费承诺书</w:t>
      </w:r>
    </w:p>
    <w:p>
      <w:pPr>
        <w:spacing w:line="360" w:lineRule="auto"/>
        <w:rPr>
          <w:rFonts w:ascii="宋体"/>
          <w:color w:val="auto"/>
          <w:sz w:val="24"/>
        </w:rPr>
      </w:pPr>
    </w:p>
    <w:p>
      <w:pPr>
        <w:wordWrap w:val="0"/>
        <w:spacing w:line="360" w:lineRule="auto"/>
        <w:jc w:val="right"/>
        <w:outlineLvl w:val="0"/>
        <w:rPr>
          <w:rFonts w:ascii="宋体"/>
          <w:color w:val="auto"/>
          <w:u w:val="single"/>
        </w:rPr>
      </w:pPr>
      <w:r>
        <w:rPr>
          <w:rFonts w:hint="eastAsia" w:ascii="宋体"/>
          <w:color w:val="auto"/>
        </w:rPr>
        <w:t>承诺书号：</w:t>
      </w:r>
      <w:r>
        <w:rPr>
          <w:rFonts w:hint="eastAsia" w:ascii="宋体"/>
          <w:color w:val="auto"/>
          <w:u w:val="single"/>
        </w:rPr>
        <w:t xml:space="preserve">               </w:t>
      </w:r>
    </w:p>
    <w:p>
      <w:pPr>
        <w:spacing w:line="360" w:lineRule="auto"/>
        <w:rPr>
          <w:rFonts w:hint="eastAsia" w:ascii="宋体" w:eastAsia="宋体"/>
          <w:b/>
          <w:color w:val="auto"/>
          <w:sz w:val="24"/>
          <w:lang w:eastAsia="zh-CN"/>
        </w:rPr>
      </w:pPr>
      <w:r>
        <w:rPr>
          <w:rFonts w:hint="eastAsia" w:ascii="宋体"/>
          <w:color w:val="auto"/>
        </w:rPr>
        <w:t>致</w:t>
      </w:r>
      <w:r>
        <w:rPr>
          <w:rFonts w:hint="eastAsia" w:ascii="宋体"/>
          <w:color w:val="auto"/>
          <w:sz w:val="24"/>
        </w:rPr>
        <w:t>：</w:t>
      </w:r>
      <w:r>
        <w:rPr>
          <w:rFonts w:hint="eastAsia" w:ascii="宋体"/>
          <w:b/>
          <w:color w:val="auto"/>
          <w:sz w:val="24"/>
          <w:lang w:eastAsia="zh-CN"/>
        </w:rPr>
        <w:t>广东华联建设投资管理股份有限公司中山分公司</w:t>
      </w:r>
    </w:p>
    <w:p>
      <w:pPr>
        <w:spacing w:before="240" w:line="360" w:lineRule="auto"/>
        <w:ind w:firstLine="539"/>
        <w:jc w:val="both"/>
        <w:rPr>
          <w:rFonts w:ascii="宋体"/>
          <w:color w:val="auto"/>
        </w:rPr>
      </w:pPr>
      <w:r>
        <w:rPr>
          <w:rFonts w:hint="eastAsia" w:ascii="宋体"/>
          <w:color w:val="auto"/>
        </w:rPr>
        <w:t>如果我方在贵单位组织的</w:t>
      </w:r>
      <w:r>
        <w:rPr>
          <w:rFonts w:hint="eastAsia" w:ascii="宋体"/>
          <w:color w:val="auto"/>
          <w:lang w:eastAsia="zh-CN"/>
        </w:rPr>
        <w:t>中山海关公务车辆2018-2020年定点加油采购项目</w:t>
      </w:r>
      <w:r>
        <w:rPr>
          <w:rFonts w:hint="eastAsia" w:ascii="宋体"/>
          <w:color w:val="auto"/>
        </w:rPr>
        <w:t>招标中被确立为中标投标人，我方保证在收到《中标通知书》后，按照招标文件的有关规定向贵单位交纳中标服务费。我方如违反上款承诺，愿凭贵单位开出的相关通知，按上述承诺金额的200％在我方提交的投标保证金及采购人根据中标合同约定支付给我方的合同款中扣付。</w:t>
      </w:r>
    </w:p>
    <w:p>
      <w:pPr>
        <w:spacing w:line="360" w:lineRule="auto"/>
        <w:jc w:val="both"/>
        <w:rPr>
          <w:rFonts w:ascii="宋体"/>
          <w:color w:val="auto"/>
        </w:rPr>
      </w:pPr>
    </w:p>
    <w:p>
      <w:pPr>
        <w:spacing w:line="360" w:lineRule="auto"/>
        <w:ind w:firstLine="540"/>
        <w:rPr>
          <w:rFonts w:ascii="宋体"/>
          <w:color w:val="auto"/>
        </w:rPr>
      </w:pPr>
      <w:r>
        <w:rPr>
          <w:rFonts w:hint="eastAsia" w:ascii="宋体"/>
          <w:color w:val="auto"/>
        </w:rPr>
        <w:t>特此承诺！</w:t>
      </w:r>
    </w:p>
    <w:p>
      <w:pPr>
        <w:spacing w:line="360" w:lineRule="auto"/>
        <w:ind w:firstLine="540"/>
        <w:rPr>
          <w:rFonts w:ascii="宋体"/>
          <w:color w:val="auto"/>
        </w:rPr>
      </w:pPr>
    </w:p>
    <w:p>
      <w:pPr>
        <w:adjustRightInd w:val="0"/>
        <w:snapToGrid w:val="0"/>
        <w:spacing w:line="360" w:lineRule="auto"/>
        <w:rPr>
          <w:color w:val="auto"/>
          <w:szCs w:val="21"/>
        </w:rPr>
      </w:pPr>
    </w:p>
    <w:p>
      <w:pPr>
        <w:adjustRightInd w:val="0"/>
        <w:snapToGrid w:val="0"/>
        <w:spacing w:line="360" w:lineRule="auto"/>
        <w:rPr>
          <w:color w:val="auto"/>
          <w:szCs w:val="21"/>
        </w:rPr>
      </w:pPr>
      <w:r>
        <w:rPr>
          <w:rFonts w:hint="eastAsia"/>
          <w:color w:val="auto"/>
          <w:szCs w:val="21"/>
        </w:rPr>
        <w:t>投标人法定代表人（或法定代表人授权代表）签字：</w:t>
      </w:r>
      <w:r>
        <w:rPr>
          <w:rFonts w:hint="eastAsia"/>
          <w:color w:val="auto"/>
          <w:szCs w:val="21"/>
          <w:u w:val="single"/>
        </w:rPr>
        <w:t xml:space="preserve">                   </w:t>
      </w:r>
    </w:p>
    <w:p>
      <w:pPr>
        <w:adjustRightInd w:val="0"/>
        <w:snapToGrid w:val="0"/>
        <w:spacing w:line="360" w:lineRule="auto"/>
        <w:rPr>
          <w:color w:val="auto"/>
          <w:szCs w:val="21"/>
          <w:u w:val="single"/>
        </w:rPr>
      </w:pPr>
      <w:r>
        <w:rPr>
          <w:rFonts w:hint="eastAsia"/>
          <w:color w:val="auto"/>
          <w:szCs w:val="21"/>
        </w:rPr>
        <w:t>投标人名称（签章）：</w:t>
      </w:r>
      <w:r>
        <w:rPr>
          <w:rFonts w:hint="eastAsia"/>
          <w:color w:val="auto"/>
          <w:szCs w:val="21"/>
          <w:u w:val="single"/>
        </w:rPr>
        <w:t xml:space="preserve">                        </w:t>
      </w:r>
    </w:p>
    <w:p>
      <w:pPr>
        <w:spacing w:line="360" w:lineRule="auto"/>
        <w:rPr>
          <w:color w:val="auto"/>
          <w:szCs w:val="21"/>
        </w:rPr>
      </w:pPr>
      <w:r>
        <w:rPr>
          <w:rFonts w:hint="eastAsia"/>
          <w:color w:val="auto"/>
          <w:szCs w:val="21"/>
        </w:rPr>
        <w:t>日期：   年   月   日</w:t>
      </w:r>
    </w:p>
    <w:p>
      <w:pPr>
        <w:pStyle w:val="3"/>
        <w:spacing w:before="120" w:after="120" w:line="360" w:lineRule="auto"/>
        <w:rPr>
          <w:rFonts w:ascii="Times New Roman" w:hAnsi="Times New Roman"/>
          <w:b w:val="0"/>
          <w:color w:val="auto"/>
          <w:sz w:val="28"/>
          <w:szCs w:val="28"/>
        </w:rPr>
      </w:pPr>
      <w:r>
        <w:rPr>
          <w:color w:val="auto"/>
        </w:rPr>
        <w:br w:type="page"/>
      </w:r>
      <w:r>
        <w:rPr>
          <w:rFonts w:hint="eastAsia"/>
          <w:b w:val="0"/>
          <w:color w:val="auto"/>
          <w:sz w:val="28"/>
          <w:szCs w:val="28"/>
        </w:rPr>
        <w:t>7.</w:t>
      </w:r>
      <w:r>
        <w:rPr>
          <w:rFonts w:hint="eastAsia"/>
          <w:b w:val="0"/>
          <w:i/>
          <w:color w:val="auto"/>
          <w:sz w:val="28"/>
          <w:szCs w:val="28"/>
        </w:rPr>
        <w:t>3</w:t>
      </w:r>
      <w:r>
        <w:rPr>
          <w:color w:val="auto"/>
        </w:rPr>
        <w:fldChar w:fldCharType="begin"/>
      </w:r>
      <w:r>
        <w:rPr>
          <w:color w:val="auto"/>
        </w:rPr>
        <w:instrText xml:space="preserve"> DOCVARIABLE  商务条款响应表开始  \* MERGEFORMAT </w:instrText>
      </w:r>
      <w:r>
        <w:rPr>
          <w:color w:val="auto"/>
        </w:rPr>
        <w:fldChar w:fldCharType="end"/>
      </w:r>
      <w:r>
        <w:rPr>
          <w:color w:val="auto"/>
        </w:rPr>
        <w:fldChar w:fldCharType="begin"/>
      </w:r>
      <w:r>
        <w:rPr>
          <w:color w:val="auto"/>
        </w:rPr>
        <w:instrText xml:space="preserve"> DOCVARIABLE  商务条款响应表开始  \* MERGEFORMAT </w:instrText>
      </w:r>
      <w:r>
        <w:rPr>
          <w:color w:val="auto"/>
        </w:rPr>
        <w:fldChar w:fldCharType="end"/>
      </w:r>
      <w:r>
        <w:rPr>
          <w:rFonts w:hint="eastAsia"/>
          <w:b w:val="0"/>
          <w:i/>
          <w:color w:val="auto"/>
          <w:sz w:val="28"/>
          <w:szCs w:val="28"/>
        </w:rPr>
        <w:t>其它格式（如有）</w:t>
      </w:r>
    </w:p>
    <w:p>
      <w:pPr>
        <w:pStyle w:val="3"/>
        <w:spacing w:before="120" w:after="120" w:line="360" w:lineRule="auto"/>
        <w:rPr>
          <w:rFonts w:ascii="Times New Roman" w:hAnsi="Times New Roman" w:eastAsia="宋体"/>
          <w:color w:val="auto"/>
        </w:rPr>
      </w:pPr>
      <w:r>
        <w:rPr>
          <w:rFonts w:ascii="Times New Roman" w:hAnsi="Times New Roman" w:eastAsia="宋体"/>
          <w:b w:val="0"/>
          <w:bCs w:val="0"/>
          <w:color w:val="auto"/>
          <w:sz w:val="21"/>
          <w:szCs w:val="20"/>
        </w:rPr>
        <w:br w:type="page"/>
      </w:r>
      <w:r>
        <w:rPr>
          <w:rFonts w:hint="eastAsia" w:ascii="Times New Roman" w:hAnsi="Times New Roman" w:eastAsia="宋体"/>
          <w:color w:val="auto"/>
        </w:rPr>
        <w:t>八、唱标信封</w:t>
      </w:r>
    </w:p>
    <w:p>
      <w:pPr>
        <w:spacing w:line="360" w:lineRule="auto"/>
        <w:rPr>
          <w:rFonts w:ascii="宋体" w:hAnsi="宋体"/>
          <w:b/>
          <w:color w:val="auto"/>
          <w:kern w:val="44"/>
          <w:sz w:val="24"/>
          <w:szCs w:val="24"/>
        </w:rPr>
      </w:pPr>
      <w:r>
        <w:rPr>
          <w:rFonts w:hint="eastAsia" w:ascii="宋体" w:hAnsi="宋体"/>
          <w:b/>
          <w:color w:val="auto"/>
          <w:kern w:val="44"/>
          <w:sz w:val="24"/>
          <w:szCs w:val="24"/>
        </w:rPr>
        <w:t>唱标信封内装：</w:t>
      </w:r>
    </w:p>
    <w:p>
      <w:pPr>
        <w:spacing w:line="360" w:lineRule="auto"/>
        <w:rPr>
          <w:rFonts w:ascii="宋体"/>
          <w:b/>
          <w:color w:val="auto"/>
          <w:sz w:val="32"/>
        </w:rPr>
      </w:pPr>
    </w:p>
    <w:p>
      <w:pPr>
        <w:numPr>
          <w:ilvl w:val="0"/>
          <w:numId w:val="15"/>
        </w:numPr>
        <w:tabs>
          <w:tab w:val="left" w:pos="360"/>
        </w:tabs>
        <w:spacing w:line="360" w:lineRule="auto"/>
        <w:ind w:hanging="1140"/>
        <w:jc w:val="both"/>
        <w:rPr>
          <w:color w:val="auto"/>
        </w:rPr>
      </w:pPr>
      <w:r>
        <w:rPr>
          <w:rFonts w:hint="eastAsia"/>
          <w:color w:val="auto"/>
        </w:rPr>
        <w:t>投标函</w:t>
      </w:r>
      <w:r>
        <w:rPr>
          <w:rFonts w:hint="eastAsia" w:ascii="宋体"/>
          <w:color w:val="auto"/>
        </w:rPr>
        <w:t>（</w:t>
      </w:r>
      <w:r>
        <w:rPr>
          <w:rFonts w:hint="eastAsia"/>
          <w:color w:val="auto"/>
        </w:rPr>
        <w:t>从投标文件正本中</w:t>
      </w:r>
      <w:r>
        <w:rPr>
          <w:rFonts w:hint="eastAsia" w:ascii="宋体"/>
          <w:color w:val="auto"/>
        </w:rPr>
        <w:t>复印）</w:t>
      </w:r>
      <w:r>
        <w:rPr>
          <w:rFonts w:hint="eastAsia"/>
          <w:color w:val="auto"/>
        </w:rPr>
        <w:t>；</w:t>
      </w:r>
    </w:p>
    <w:p>
      <w:pPr>
        <w:numPr>
          <w:ilvl w:val="0"/>
          <w:numId w:val="15"/>
        </w:numPr>
        <w:tabs>
          <w:tab w:val="left" w:pos="360"/>
        </w:tabs>
        <w:spacing w:line="360" w:lineRule="auto"/>
        <w:ind w:hanging="1140"/>
        <w:jc w:val="both"/>
        <w:rPr>
          <w:color w:val="auto"/>
        </w:rPr>
      </w:pPr>
      <w:r>
        <w:rPr>
          <w:rFonts w:hint="eastAsia"/>
          <w:color w:val="auto"/>
        </w:rPr>
        <w:t>投标报价表（从投标文件正本中复印）；</w:t>
      </w:r>
    </w:p>
    <w:p>
      <w:pPr>
        <w:numPr>
          <w:ilvl w:val="0"/>
          <w:numId w:val="15"/>
        </w:numPr>
        <w:tabs>
          <w:tab w:val="left" w:pos="360"/>
        </w:tabs>
        <w:spacing w:line="360" w:lineRule="auto"/>
        <w:ind w:hanging="1140"/>
        <w:jc w:val="both"/>
        <w:rPr>
          <w:color w:val="auto"/>
        </w:rPr>
      </w:pPr>
      <w:r>
        <w:rPr>
          <w:rFonts w:hint="eastAsia"/>
          <w:color w:val="auto"/>
        </w:rPr>
        <w:t>投标保证金交付收据复印件；</w:t>
      </w:r>
    </w:p>
    <w:p>
      <w:pPr>
        <w:numPr>
          <w:ilvl w:val="0"/>
          <w:numId w:val="15"/>
        </w:numPr>
        <w:tabs>
          <w:tab w:val="left" w:pos="360"/>
        </w:tabs>
        <w:spacing w:line="360" w:lineRule="auto"/>
        <w:ind w:hanging="1140"/>
        <w:jc w:val="both"/>
        <w:rPr>
          <w:color w:val="auto"/>
        </w:rPr>
      </w:pPr>
      <w:r>
        <w:rPr>
          <w:rFonts w:hint="eastAsia"/>
          <w:color w:val="auto"/>
        </w:rPr>
        <w:t>法人营业执照复印件；</w:t>
      </w:r>
    </w:p>
    <w:p>
      <w:pPr>
        <w:numPr>
          <w:ilvl w:val="0"/>
          <w:numId w:val="15"/>
        </w:numPr>
        <w:tabs>
          <w:tab w:val="left" w:pos="360"/>
        </w:tabs>
        <w:spacing w:line="360" w:lineRule="auto"/>
        <w:ind w:hanging="1140"/>
        <w:jc w:val="both"/>
        <w:rPr>
          <w:color w:val="auto"/>
        </w:rPr>
      </w:pPr>
      <w:r>
        <w:rPr>
          <w:rFonts w:hint="eastAsia"/>
          <w:color w:val="auto"/>
        </w:rPr>
        <w:t>折扣声明（如果有）。</w:t>
      </w:r>
    </w:p>
    <w:p>
      <w:pPr>
        <w:rPr>
          <w:color w:val="auto"/>
        </w:rPr>
      </w:pPr>
    </w:p>
    <w:p>
      <w:pPr>
        <w:rPr>
          <w:color w:val="auto"/>
        </w:rPr>
      </w:pPr>
    </w:p>
    <w:sectPr>
      <w:footerReference r:id="rId13" w:type="default"/>
      <w:footerReference r:id="rId14" w:type="even"/>
      <w:pgSz w:w="11907" w:h="16840"/>
      <w:pgMar w:top="1418" w:right="1304" w:bottom="1418" w:left="130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隶书_GB2312">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黑体"/>
    <w:panose1 w:val="00000000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华文新魏">
    <w:altName w:val="宋体"/>
    <w:panose1 w:val="02010800040101010101"/>
    <w:charset w:val="86"/>
    <w:family w:val="auto"/>
    <w:pitch w:val="default"/>
    <w:sig w:usb0="00000000" w:usb1="0000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615" w:wrap="around" w:vAnchor="text" w:hAnchor="page" w:x="10002" w:y="88"/>
      <w:ind w:right="-359" w:rightChars="-171"/>
      <w:jc w:val="center"/>
      <w:rPr>
        <w:rStyle w:val="51"/>
      </w:rPr>
    </w:pPr>
    <w:r>
      <w:fldChar w:fldCharType="begin"/>
    </w:r>
    <w:r>
      <w:rPr>
        <w:rStyle w:val="51"/>
      </w:rPr>
      <w:instrText xml:space="preserve">PAGE  </w:instrText>
    </w:r>
    <w:r>
      <w:fldChar w:fldCharType="separate"/>
    </w:r>
    <w:r>
      <w:rPr>
        <w:rStyle w:val="51"/>
      </w:rPr>
      <w:t>27</w:t>
    </w:r>
    <w:r>
      <w:fldChar w:fldCharType="end"/>
    </w:r>
  </w:p>
  <w:p>
    <w:pPr>
      <w:pStyle w:val="31"/>
      <w:tabs>
        <w:tab w:val="right" w:pos="8820"/>
        <w:tab w:val="clear" w:pos="8306"/>
      </w:tabs>
      <w:ind w:right="-289" w:firstLine="90" w:firstLineChars="50"/>
    </w:pP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-40640</wp:posOffset>
              </wp:positionV>
              <wp:extent cx="5943600" cy="0"/>
              <wp:effectExtent l="0" t="0" r="0" b="0"/>
              <wp:wrapNone/>
              <wp:docPr id="8" name="直线 1"/>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 o:spid="_x0000_s1026" o:spt="20" style="position:absolute;left:0pt;margin-left:0pt;margin-top:-3.2pt;height:0pt;width:468pt;z-index:251657216;mso-width-relative:page;mso-height-relative:page;" filled="f" stroked="t" coordsize="21600,21600" o:gfxdata="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52GXNQAAAAGAQAADwAAAAAAAAABACAAAAAiAAAA&#10;ZHJzL2Rvd25yZXYueG1sUEsBAhQAFAAAAAgAh07iQLkrtr7SAQAAmwMAAA4AAAAAAAAAAQAgAAAA&#10;IwEAAGRycy9lMm9Eb2MueG1sUEsFBgAAAAAGAAYAWQEAAGcFAAAAAA==&#10;">
              <v:fill on="f" focussize="0,0"/>
              <v:stroke color="#000000" joinstyle="round"/>
              <v:imagedata o:title=""/>
              <o:lock v:ext="edit" aspectratio="f"/>
            </v:line>
          </w:pict>
        </mc:Fallback>
      </mc:AlternateContent>
    </w:r>
    <w:r>
      <w:rPr>
        <w:rFonts w:hint="eastAsia" w:ascii="宋体" w:hAnsi="宋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320"/>
        <w:tab w:val="right" w:pos="8640"/>
        <w:tab w:val="clear" w:pos="4153"/>
        <w:tab w:val="clear" w:pos="8306"/>
      </w:tabs>
      <w:ind w:right="71"/>
    </w:pPr>
    <w:r>
      <w:drawing>
        <wp:anchor distT="0" distB="0" distL="114300" distR="114300" simplePos="0" relativeHeight="251655168" behindDoc="0" locked="0" layoutInCell="1" allowOverlap="1">
          <wp:simplePos x="0" y="0"/>
          <wp:positionH relativeFrom="column">
            <wp:posOffset>5029200</wp:posOffset>
          </wp:positionH>
          <wp:positionV relativeFrom="paragraph">
            <wp:posOffset>-106680</wp:posOffset>
          </wp:positionV>
          <wp:extent cx="568325" cy="424180"/>
          <wp:effectExtent l="0" t="0" r="3175" b="13970"/>
          <wp:wrapTopAndBottom/>
          <wp:docPr id="12"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对象 4"/>
                  <pic:cNvPicPr>
                    <a:picLocks noChangeAspect="1"/>
                  </pic:cNvPicPr>
                </pic:nvPicPr>
                <pic:blipFill>
                  <a:blip r:embed="rId1"/>
                  <a:stretch>
                    <a:fillRect/>
                  </a:stretch>
                </pic:blipFill>
                <pic:spPr>
                  <a:xfrm>
                    <a:off x="0" y="0"/>
                    <a:ext cx="568325" cy="424180"/>
                  </a:xfrm>
                  <a:prstGeom prst="rect">
                    <a:avLst/>
                  </a:prstGeom>
                  <a:noFill/>
                  <a:ln w="9525">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760085" cy="0"/>
              <wp:effectExtent l="0" t="0" r="0" b="0"/>
              <wp:wrapNone/>
              <wp:docPr id="13" name="直线 3"/>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0.05pt;height:0pt;width:453.55pt;z-index:251659264;mso-width-relative:page;mso-height-relative:page;" filled="f" stroked="t" coordsize="21600,21600" o:gfxdata="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WWWlB0gAAAAQBAAAPAAAAAAAAAAEAIAAAACIAAABk&#10;cnMvZG93bnJldi54bWxQSwECFAAUAAAACACHTuJAV023VtMBAACcAwAADgAAAAAAAAABACAAAAAh&#10;AQAAZHJzL2Uyb0RvYy54bWxQSwUGAAAAAAYABgBZAQAAZgUAAAAA&#10;">
              <v:fill on="f" focussize="0,0"/>
              <v:stroke color="#000000" joinstyle="round"/>
              <v:imagedata o:title=""/>
              <o:lock v:ext="edit" aspectratio="f"/>
            </v:line>
          </w:pict>
        </mc:Fallback>
      </mc:AlternateContent>
    </w:r>
    <w:r>
      <w:fldChar w:fldCharType="begin"/>
    </w:r>
    <w:r>
      <w:rPr>
        <w:rStyle w:val="51"/>
      </w:rPr>
      <w:instrText xml:space="preserve"> PAGE </w:instrText>
    </w:r>
    <w:r>
      <w:fldChar w:fldCharType="separate"/>
    </w:r>
    <w:r>
      <w:rPr>
        <w:rStyle w:val="51"/>
      </w:rPr>
      <w:t>28</w:t>
    </w:r>
    <w:r>
      <w:fldChar w:fldCharType="end"/>
    </w:r>
    <w:r>
      <w:rPr>
        <w:rStyle w:val="51"/>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28</w:t>
    </w:r>
    <w: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page" w:x="10192" w:y="87"/>
      <w:rPr>
        <w:rStyle w:val="51"/>
      </w:rPr>
    </w:pPr>
    <w:r>
      <w:fldChar w:fldCharType="begin"/>
    </w:r>
    <w:r>
      <w:rPr>
        <w:rStyle w:val="51"/>
      </w:rPr>
      <w:instrText xml:space="preserve">PAGE  </w:instrText>
    </w:r>
    <w:r>
      <w:fldChar w:fldCharType="separate"/>
    </w:r>
    <w:r>
      <w:rPr>
        <w:rStyle w:val="51"/>
      </w:rPr>
      <w:t>28</w:t>
    </w:r>
    <w:r>
      <w:fldChar w:fldCharType="end"/>
    </w:r>
  </w:p>
  <w:p>
    <w:pPr>
      <w:pStyle w:val="31"/>
      <w:ind w:right="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1"/>
      </w:rPr>
    </w:pPr>
    <w:r>
      <w:fldChar w:fldCharType="begin"/>
    </w:r>
    <w:r>
      <w:rPr>
        <w:rStyle w:val="51"/>
      </w:rPr>
      <w:instrText xml:space="preserve">PAGE  </w:instrText>
    </w:r>
    <w:r>
      <w:fldChar w:fldCharType="separate"/>
    </w:r>
    <w:r>
      <w:rPr>
        <w:rStyle w:val="51"/>
      </w:rPr>
      <w:t>28</w:t>
    </w:r>
    <w:r>
      <w:fldChar w:fldCharType="end"/>
    </w:r>
  </w:p>
  <w:p>
    <w:pPr>
      <w:pStyle w:val="31"/>
      <w:tabs>
        <w:tab w:val="right" w:pos="8640"/>
        <w:tab w:val="clear" w:pos="8306"/>
      </w:tabs>
      <w:ind w:right="71" w:firstLine="360"/>
    </w:pPr>
    <w:r>
      <w:drawing>
        <wp:anchor distT="0" distB="0" distL="114300" distR="114300" simplePos="0" relativeHeight="251656192" behindDoc="0" locked="0" layoutInCell="1" allowOverlap="1">
          <wp:simplePos x="0" y="0"/>
          <wp:positionH relativeFrom="column">
            <wp:posOffset>5221605</wp:posOffset>
          </wp:positionH>
          <wp:positionV relativeFrom="paragraph">
            <wp:posOffset>-7620</wp:posOffset>
          </wp:positionV>
          <wp:extent cx="568325" cy="424180"/>
          <wp:effectExtent l="0" t="0" r="3175" b="13970"/>
          <wp:wrapTopAndBottom/>
          <wp:docPr id="14"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对象 5"/>
                  <pic:cNvPicPr>
                    <a:picLocks noChangeAspect="1"/>
                  </pic:cNvPicPr>
                </pic:nvPicPr>
                <pic:blipFill>
                  <a:blip r:embed="rId1"/>
                  <a:stretch>
                    <a:fillRect/>
                  </a:stretch>
                </pic:blipFill>
                <pic:spPr>
                  <a:xfrm>
                    <a:off x="0" y="0"/>
                    <a:ext cx="568325" cy="424180"/>
                  </a:xfrm>
                  <a:prstGeom prst="rect">
                    <a:avLst/>
                  </a:prstGeom>
                  <a:noFill/>
                  <a:ln w="9525">
                    <a:noFill/>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715000" cy="0"/>
              <wp:effectExtent l="0" t="0" r="0" b="0"/>
              <wp:wrapNone/>
              <wp:docPr id="10" name="直线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0.05pt;height:0pt;width:450pt;z-index:251658240;mso-width-relative:page;mso-height-relative:page;" filled="f" stroked="t" coordsize="21600,21600" o:gfxdata="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7mhdNEAAAAEAQAADwAAAAAAAAABACAAAAAiAAAAZHJz&#10;L2Rvd25yZXYueG1sUEsBAhQAFAAAAAgAh07iQC8K3/nSAQAAnAMAAA4AAAAAAAAAAQAgAAAAIAEA&#10;AGRycy9lMm9Eb2MueG1sUEsFBgAAAAAGAAYAWQEAAGQFAAAAAA==&#10;">
              <v:fill on="f" focussize="0,0"/>
              <v:stroke color="#000000" joinstyle="round"/>
              <v:imagedata o:title=""/>
              <o:lock v:ext="edit" aspectratio="f"/>
            </v:line>
          </w:pict>
        </mc:Fallback>
      </mc:AlternateContent>
    </w:r>
    <w:r>
      <w:rPr>
        <w:rStyle w:val="51"/>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page" w:x="10318" w:y="112"/>
      <w:rPr>
        <w:rStyle w:val="51"/>
      </w:rPr>
    </w:pPr>
    <w:r>
      <w:fldChar w:fldCharType="begin"/>
    </w:r>
    <w:r>
      <w:rPr>
        <w:rStyle w:val="51"/>
      </w:rPr>
      <w:instrText xml:space="preserve">PAGE  </w:instrText>
    </w:r>
    <w:r>
      <w:fldChar w:fldCharType="separate"/>
    </w:r>
    <w:r>
      <w:rPr>
        <w:rStyle w:val="51"/>
      </w:rPr>
      <w:t>33</w:t>
    </w:r>
    <w:r>
      <w:fldChar w:fldCharType="end"/>
    </w:r>
  </w:p>
  <w:p>
    <w:pPr>
      <w:pStyle w:val="31"/>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6172200" cy="0"/>
              <wp:effectExtent l="0" t="0" r="0" b="0"/>
              <wp:wrapNone/>
              <wp:docPr id="16" name="直线 7"/>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pt;margin-top:-0.35pt;height:0pt;width:486pt;z-index:251661312;mso-width-relative:page;mso-height-relative:page;" filled="f" stroked="t" coordsize="21600,21600" o:gfxdata="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2Dbv80gAAAAQBAAAPAAAAAAAAAAEAIAAAACIAAABk&#10;cnMvZG93bnJldi54bWxQSwECFAAUAAAACACHTuJA2f6MTdMBAACcAwAADgAAAAAAAAABACAAAAAh&#10;AQAAZHJzL2Uyb0RvYy54bWxQSwUGAAAAAAYABgBZAQAAZgUAAAAA&#10;">
              <v:fill on="f" focussize="0,0"/>
              <v:stroke color="#000000" joinstyle="round"/>
              <v:imagedata o:title=""/>
              <o:lock v:ext="edit" aspectratio="f"/>
            </v:line>
          </w:pict>
        </mc:Fallback>
      </mc:AlternateContent>
    </w:r>
    <w:r>
      <w:rPr>
        <w:rFonts w:hint="eastAsia"/>
      </w:rPr>
      <w:t xml:space="preserve">  </w:t>
    </w: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w="9525">
                        <a:noFill/>
                      </a:ln>
                      <a:effectLst/>
                    </wps:spPr>
                    <wps:txbx>
                      <w:txbxContent>
                        <w:p>
                          <w:pPr>
                            <w:rPr>
                              <w:b/>
                              <w:bCs/>
                              <w:color w:val="FFFFFF"/>
                              <w:sz w:val="18"/>
                            </w:rPr>
                          </w:pPr>
                          <w:r>
                            <w:rPr>
                              <w:rFonts w:hint="eastAsia"/>
                              <w:b/>
                              <w:bCs/>
                              <w:color w:val="FFFFFF"/>
                              <w:sz w:val="18"/>
                              <w:szCs w:val="21"/>
                            </w:rPr>
                            <w:t xml:space="preserve">第 </w:t>
                          </w:r>
                          <w:r>
                            <w:rPr>
                              <w:b/>
                              <w:bCs/>
                              <w:color w:val="FFFFFF"/>
                              <w:sz w:val="18"/>
                              <w:szCs w:val="21"/>
                            </w:rPr>
                            <w:fldChar w:fldCharType="begin"/>
                          </w:r>
                          <w:r>
                            <w:rPr>
                              <w:b/>
                              <w:bCs/>
                              <w:color w:val="FFFFFF"/>
                              <w:sz w:val="18"/>
                              <w:szCs w:val="21"/>
                            </w:rPr>
                            <w:instrText xml:space="preserve"> PAGE </w:instrText>
                          </w:r>
                          <w:r>
                            <w:rPr>
                              <w:b/>
                              <w:bCs/>
                              <w:color w:val="FFFFFF"/>
                              <w:sz w:val="18"/>
                              <w:szCs w:val="21"/>
                            </w:rPr>
                            <w:fldChar w:fldCharType="separate"/>
                          </w:r>
                          <w:r>
                            <w:rPr>
                              <w:b/>
                              <w:bCs/>
                              <w:color w:val="FFFFFF"/>
                              <w:sz w:val="18"/>
                              <w:szCs w:val="21"/>
                            </w:rPr>
                            <w:t>33</w:t>
                          </w:r>
                          <w:r>
                            <w:rPr>
                              <w:b/>
                              <w:bCs/>
                              <w:color w:val="FFFFFF"/>
                              <w:sz w:val="18"/>
                              <w:szCs w:val="21"/>
                            </w:rPr>
                            <w:fldChar w:fldCharType="end"/>
                          </w:r>
                          <w:r>
                            <w:rPr>
                              <w:rFonts w:hint="eastAsia"/>
                              <w:b/>
                              <w:bCs/>
                              <w:color w:val="FFFFFF"/>
                              <w:sz w:val="18"/>
                              <w:szCs w:val="21"/>
                            </w:rPr>
                            <w:t xml:space="preserve"> 页 </w:t>
                          </w:r>
                        </w:p>
                      </w:txbxContent>
                    </wps:txbx>
                    <wps:bodyPr upright="1"/>
                  </wps:wsp>
                </a:graphicData>
              </a:graphic>
            </wp:anchor>
          </w:drawing>
        </mc:Choice>
        <mc:Fallback>
          <w:pict>
            <v:shape id="文本框 6" o:spid="_x0000_s1026" o:spt="202" type="#_x0000_t202" style="position:absolute;left:0pt;margin-left:450pt;margin-top:10.6pt;height:23.4pt;width:90pt;z-index:251660288;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J+iu9YAAAAKAQAADwAAAAAAAAAB&#10;ACAAAAAiAAAAZHJzL2Rvd25yZXYueG1sUEsBAhQAFAAAAAgAh07iQNWeTUigAQAAGAMAAA4AAAAA&#10;AAAAAQAgAAAAJQEAAGRycy9lMm9Eb2MueG1sUEsFBgAAAAAGAAYAWQEAADcFAAAAAA==&#10;">
              <v:fill on="f" focussize="0,0"/>
              <v:stroke on="f"/>
              <v:imagedata o:title=""/>
              <o:lock v:ext="edit" aspectratio="f"/>
              <v:textbox>
                <w:txbxContent>
                  <w:p>
                    <w:pPr>
                      <w:rPr>
                        <w:b/>
                        <w:bCs/>
                        <w:color w:val="FFFFFF"/>
                        <w:sz w:val="18"/>
                      </w:rPr>
                    </w:pPr>
                    <w:r>
                      <w:rPr>
                        <w:rFonts w:hint="eastAsia"/>
                        <w:b/>
                        <w:bCs/>
                        <w:color w:val="FFFFFF"/>
                        <w:sz w:val="18"/>
                        <w:szCs w:val="21"/>
                      </w:rPr>
                      <w:t xml:space="preserve">第 </w:t>
                    </w:r>
                    <w:r>
                      <w:rPr>
                        <w:b/>
                        <w:bCs/>
                        <w:color w:val="FFFFFF"/>
                        <w:sz w:val="18"/>
                        <w:szCs w:val="21"/>
                      </w:rPr>
                      <w:fldChar w:fldCharType="begin"/>
                    </w:r>
                    <w:r>
                      <w:rPr>
                        <w:b/>
                        <w:bCs/>
                        <w:color w:val="FFFFFF"/>
                        <w:sz w:val="18"/>
                        <w:szCs w:val="21"/>
                      </w:rPr>
                      <w:instrText xml:space="preserve"> PAGE </w:instrText>
                    </w:r>
                    <w:r>
                      <w:rPr>
                        <w:b/>
                        <w:bCs/>
                        <w:color w:val="FFFFFF"/>
                        <w:sz w:val="18"/>
                        <w:szCs w:val="21"/>
                      </w:rPr>
                      <w:fldChar w:fldCharType="separate"/>
                    </w:r>
                    <w:r>
                      <w:rPr>
                        <w:b/>
                        <w:bCs/>
                        <w:color w:val="FFFFFF"/>
                        <w:sz w:val="18"/>
                        <w:szCs w:val="21"/>
                      </w:rPr>
                      <w:t>33</w:t>
                    </w:r>
                    <w:r>
                      <w:rPr>
                        <w:b/>
                        <w:bCs/>
                        <w:color w:val="FFFFFF"/>
                        <w:sz w:val="18"/>
                        <w:szCs w:val="21"/>
                      </w:rPr>
                      <w:fldChar w:fldCharType="end"/>
                    </w:r>
                    <w:r>
                      <w:rPr>
                        <w:rFonts w:hint="eastAsia"/>
                        <w:b/>
                        <w:bCs/>
                        <w:color w:val="FFFFFF"/>
                        <w:sz w:val="18"/>
                        <w:szCs w:val="21"/>
                      </w:rPr>
                      <w:t xml:space="preserve"> 页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page" w:x="10059" w:y="149"/>
      <w:rPr>
        <w:rStyle w:val="51"/>
      </w:rPr>
    </w:pPr>
    <w:r>
      <w:fldChar w:fldCharType="begin"/>
    </w:r>
    <w:r>
      <w:rPr>
        <w:rStyle w:val="51"/>
      </w:rPr>
      <w:instrText xml:space="preserve">PAGE  </w:instrText>
    </w:r>
    <w:r>
      <w:fldChar w:fldCharType="separate"/>
    </w:r>
    <w:r>
      <w:rPr>
        <w:rStyle w:val="51"/>
      </w:rPr>
      <w:t>60</w:t>
    </w:r>
    <w:r>
      <w:fldChar w:fldCharType="end"/>
    </w:r>
  </w:p>
  <w:p>
    <w:pPr>
      <w:pStyle w:val="31"/>
      <w:ind w:right="360"/>
    </w:pPr>
    <w:r>
      <w:rPr>
        <w:rFonts w:hint="eastAsia" w:ascii="宋体" w:hAnsi="宋体"/>
      </w:rPr>
      <w:t xml:space="preserve"> </w: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1"/>
      </w:rPr>
    </w:pPr>
    <w:r>
      <w:fldChar w:fldCharType="begin"/>
    </w:r>
    <w:r>
      <w:rPr>
        <w:rStyle w:val="51"/>
      </w:rPr>
      <w:instrText xml:space="preserve">PAGE  </w:instrText>
    </w:r>
    <w:r>
      <w:fldChar w:fldCharType="separate"/>
    </w:r>
    <w:r>
      <w:rPr>
        <w:rStyle w:val="51"/>
      </w:rPr>
      <w:t>28</w:t>
    </w:r>
    <w:r>
      <w:fldChar w:fldCharType="end"/>
    </w:r>
  </w:p>
  <w:p>
    <w:pPr>
      <w:pStyle w:val="31"/>
      <w:tabs>
        <w:tab w:val="center" w:pos="4500"/>
        <w:tab w:val="right" w:pos="8640"/>
        <w:tab w:val="clear" w:pos="4153"/>
        <w:tab w:val="clear" w:pos="8306"/>
      </w:tabs>
      <w:ind w:right="-109" w:firstLine="360" w:firstLineChars="200"/>
    </w:pPr>
    <w:r>
      <w:drawing>
        <wp:anchor distT="0" distB="0" distL="114300" distR="114300" simplePos="0" relativeHeight="251654144" behindDoc="0" locked="0" layoutInCell="1" allowOverlap="1">
          <wp:simplePos x="0" y="0"/>
          <wp:positionH relativeFrom="column">
            <wp:posOffset>5143500</wp:posOffset>
          </wp:positionH>
          <wp:positionV relativeFrom="paragraph">
            <wp:posOffset>-7620</wp:posOffset>
          </wp:positionV>
          <wp:extent cx="568325" cy="424180"/>
          <wp:effectExtent l="0" t="0" r="3175" b="13970"/>
          <wp:wrapTopAndBottom/>
          <wp:docPr id="11" name="对象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对象 9"/>
                  <pic:cNvPicPr>
                    <a:picLocks noChangeAspect="1"/>
                  </pic:cNvPicPr>
                </pic:nvPicPr>
                <pic:blipFill>
                  <a:blip r:embed="rId1"/>
                  <a:stretch>
                    <a:fillRect/>
                  </a:stretch>
                </pic:blipFill>
                <pic:spPr>
                  <a:xfrm>
                    <a:off x="0" y="0"/>
                    <a:ext cx="568325" cy="424180"/>
                  </a:xfrm>
                  <a:prstGeom prst="rect">
                    <a:avLst/>
                  </a:prstGeom>
                  <a:noFill/>
                  <a:ln w="9525">
                    <a:noFill/>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760085" cy="0"/>
              <wp:effectExtent l="0" t="0" r="0" b="0"/>
              <wp:wrapNone/>
              <wp:docPr id="9" name="直线 8"/>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0pt;margin-top:-0.05pt;height:0pt;width:453.55pt;z-index:251658240;mso-width-relative:page;mso-height-relative:page;" filled="f" stroked="t" coordsize="21600,21600" o:gfxdata="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llpQdIAAAAEAQAADwAAAAAAAAABACAAAAAiAAAAZHJz&#10;L2Rvd25yZXYueG1sUEsBAhQAFAAAAAgAh07iQL0qWqTRAQAAmwMAAA4AAAAAAAAAAQAgAAAAIQEA&#10;AGRycy9lMm9Eb2MueG1sUEsFBgAAAAAGAAYAWQEAAGQFAAAAAA==&#10;">
              <v:fill on="f" focussize="0,0"/>
              <v:stroke color="#000000" joinstyle="round"/>
              <v:imagedata o:title=""/>
              <o:lock v:ext="edit" aspectratio="f"/>
            </v:line>
          </w:pict>
        </mc:Fallback>
      </mc:AlternateContent>
    </w:r>
    <w:r>
      <w:rPr>
        <w:rStyle w:val="51"/>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single" w:color="auto" w:sz="6" w:space="0"/>
      </w:pBdr>
      <w:jc w:val="left"/>
      <w:rPr>
        <w:rFonts w:ascii="宋体" w:hAnsi="宋体"/>
        <w:kern w:val="28"/>
        <w:sz w:val="21"/>
        <w:szCs w:val="21"/>
      </w:rPr>
    </w:pPr>
    <w:r>
      <w:rPr>
        <w:rFonts w:hint="eastAsia" w:hAnsi="宋体"/>
        <w:kern w:val="28"/>
        <w:sz w:val="21"/>
        <w:szCs w:val="21"/>
        <w:lang w:eastAsia="zh-CN"/>
      </w:rPr>
      <w:t>中山海关公务车辆2018-2020年定点加油采购项目</w:t>
    </w:r>
    <w:r>
      <w:rPr>
        <w:rFonts w:hint="eastAsia" w:hAnsi="宋体"/>
        <w:kern w:val="28"/>
        <w:sz w:val="21"/>
        <w:szCs w:val="21"/>
      </w:rPr>
      <w:t xml:space="preserve">                 招标编号：</w:t>
    </w:r>
    <w:r>
      <w:rPr>
        <w:rFonts w:hint="eastAsia" w:hAnsi="宋体"/>
        <w:kern w:val="28"/>
        <w:sz w:val="21"/>
        <w:szCs w:val="21"/>
        <w:lang w:eastAsia="zh-CN"/>
      </w:rPr>
      <w:t>GDHLCG-20180525</w:t>
    </w:r>
    <w:r>
      <w:rPr>
        <w:rFonts w:hint="eastAsia" w:hAnsi="宋体"/>
        <w:kern w:val="28"/>
        <w:sz w:val="21"/>
        <w:szCs w:val="21"/>
      </w:rPr>
      <w:t xml:space="preserve">                                      </w:t>
    </w:r>
  </w:p>
  <w:p>
    <w:pPr>
      <w:rPr>
        <w:rFonts w:ascii="宋体" w:hAnsi="宋体"/>
        <w:kern w:val="28"/>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rPr>
        <w:rFonts w:ascii="宋体" w:hAnsi="宋体"/>
        <w:sz w:val="15"/>
        <w:szCs w:val="15"/>
      </w:rPr>
    </w:pPr>
    <w:r>
      <w:rPr>
        <w:rFonts w:hint="eastAsia" w:ascii="宋体" w:hAnsi="宋体"/>
      </w:rPr>
      <w:t>惠州市国土资源局金土工程暨数字惠州地理空间框架应用系统建设</w:t>
    </w:r>
    <w:r>
      <w:rPr>
        <w:rFonts w:hint="eastAsia"/>
      </w:rPr>
      <w:t xml:space="preserve">           招标编号：GMTC084H062ZFG077JA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eastAsia" w:eastAsia="宋体"/>
        <w:sz w:val="24"/>
        <w:szCs w:val="24"/>
        <w:lang w:eastAsia="zh-CN"/>
      </w:rPr>
    </w:pPr>
    <w:r>
      <w:rPr>
        <w:rFonts w:hint="eastAsia" w:hAnsi="宋体"/>
        <w:kern w:val="28"/>
        <w:sz w:val="21"/>
        <w:szCs w:val="21"/>
        <w:lang w:eastAsia="zh-CN"/>
      </w:rPr>
      <w:t>中山海关公务车辆2018-2020年定点加油采购项目</w:t>
    </w:r>
    <w:r>
      <w:rPr>
        <w:rFonts w:hint="eastAsia" w:hAnsi="宋体"/>
        <w:kern w:val="28"/>
        <w:sz w:val="21"/>
        <w:szCs w:val="21"/>
      </w:rPr>
      <w:t xml:space="preserve">                 招标编号：</w:t>
    </w:r>
    <w:r>
      <w:rPr>
        <w:rFonts w:hint="eastAsia" w:hAnsi="宋体"/>
        <w:kern w:val="28"/>
        <w:sz w:val="21"/>
        <w:szCs w:val="21"/>
        <w:lang w:eastAsia="zh-CN"/>
      </w:rPr>
      <w:t>GDHLCG-20180525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single" w:color="auto" w:sz="6" w:space="0"/>
      </w:pBdr>
      <w:jc w:val="left"/>
      <w:rPr>
        <w:rFonts w:hint="eastAsia" w:ascii="宋体" w:hAnsi="宋体" w:eastAsia="宋体"/>
        <w:kern w:val="28"/>
        <w:sz w:val="21"/>
        <w:szCs w:val="21"/>
        <w:lang w:eastAsia="zh-CN"/>
      </w:rPr>
    </w:pPr>
    <w:r>
      <w:rPr>
        <w:rFonts w:hint="eastAsia" w:hAnsi="宋体"/>
        <w:kern w:val="28"/>
        <w:sz w:val="21"/>
        <w:szCs w:val="21"/>
        <w:lang w:eastAsia="zh-CN"/>
      </w:rPr>
      <w:t>中山海关公务车辆2018-2020年定点加油采购项目</w:t>
    </w:r>
    <w:r>
      <w:rPr>
        <w:rFonts w:hint="eastAsia" w:hAnsi="宋体"/>
        <w:kern w:val="28"/>
        <w:sz w:val="21"/>
        <w:szCs w:val="21"/>
      </w:rPr>
      <w:t xml:space="preserve">              招标编号：</w:t>
    </w:r>
    <w:r>
      <w:rPr>
        <w:rFonts w:hint="eastAsia" w:hAnsi="宋体"/>
        <w:kern w:val="28"/>
        <w:sz w:val="21"/>
        <w:szCs w:val="21"/>
        <w:lang w:eastAsia="zh-CN"/>
      </w:rPr>
      <w:t>GDHLCG-20180525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4696EE"/>
    <w:multiLevelType w:val="singleLevel"/>
    <w:tmpl w:val="E64696EE"/>
    <w:lvl w:ilvl="0" w:tentative="0">
      <w:start w:val="1"/>
      <w:numFmt w:val="chineseCounting"/>
      <w:suff w:val="nothing"/>
      <w:lvlText w:val="（%1）"/>
      <w:lvlJc w:val="left"/>
      <w:pPr>
        <w:ind w:left="0" w:firstLine="420"/>
      </w:pPr>
      <w:rPr>
        <w:rFonts w:hint="eastAsia"/>
      </w:rPr>
    </w:lvl>
  </w:abstractNum>
  <w:abstractNum w:abstractNumId="1">
    <w:nsid w:val="F9A87B7D"/>
    <w:multiLevelType w:val="singleLevel"/>
    <w:tmpl w:val="F9A87B7D"/>
    <w:lvl w:ilvl="0" w:tentative="0">
      <w:start w:val="1"/>
      <w:numFmt w:val="decimalEnclosedCircleChinese"/>
      <w:suff w:val="nothing"/>
      <w:lvlText w:val="%1　"/>
      <w:lvlJc w:val="left"/>
      <w:pPr>
        <w:ind w:left="0" w:firstLine="400"/>
      </w:pPr>
      <w:rPr>
        <w:rFonts w:hint="eastAsia"/>
      </w:rPr>
    </w:lvl>
  </w:abstractNum>
  <w:abstractNum w:abstractNumId="2">
    <w:nsid w:val="00000007"/>
    <w:multiLevelType w:val="multilevel"/>
    <w:tmpl w:val="00000007"/>
    <w:lvl w:ilvl="0" w:tentative="0">
      <w:start w:val="1"/>
      <w:numFmt w:val="decimal"/>
      <w:lvlText w:val="16.%1"/>
      <w:lvlJc w:val="left"/>
      <w:pPr>
        <w:tabs>
          <w:tab w:val="left" w:pos="0"/>
        </w:tabs>
        <w:ind w:left="624" w:hanging="624"/>
      </w:pPr>
      <w:rPr>
        <w:rFonts w:hint="eastAsia" w:ascii="宋体" w:hAnsi="宋体" w:eastAsia="宋体"/>
        <w:b w:val="0"/>
        <w:i w:val="0"/>
      </w:rPr>
    </w:lvl>
    <w:lvl w:ilvl="1" w:tentative="0">
      <w:start w:val="1"/>
      <w:numFmt w:val="decimal"/>
      <w:lvlText w:val="%2)"/>
      <w:lvlJc w:val="left"/>
      <w:pPr>
        <w:tabs>
          <w:tab w:val="left" w:pos="420"/>
        </w:tabs>
        <w:ind w:left="420" w:firstLine="0"/>
      </w:pPr>
      <w:rPr>
        <w:rFonts w:hint="default"/>
        <w:b w:val="0"/>
        <w:i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bullet"/>
      <w:lvlText w:val=""/>
      <w:lvlJc w:val="left"/>
      <w:pPr>
        <w:tabs>
          <w:tab w:val="left" w:pos="360"/>
        </w:tabs>
        <w:ind w:left="360" w:hanging="360"/>
      </w:pPr>
      <w:rPr>
        <w:rFonts w:hint="default" w:ascii="Symbol" w:hAnsi="Symbol"/>
        <w:lang w:val="fr-FR"/>
      </w:rPr>
    </w:lvl>
    <w:lvl w:ilvl="1" w:tentative="0">
      <w:start w:val="1"/>
      <w:numFmt w:val="bullet"/>
      <w:lvlText w:val=""/>
      <w:lvlJc w:val="left"/>
      <w:pPr>
        <w:tabs>
          <w:tab w:val="left" w:pos="1140"/>
        </w:tabs>
        <w:ind w:left="1140" w:hanging="420"/>
      </w:pPr>
      <w:rPr>
        <w:rFonts w:hint="default" w:ascii="Wingdings" w:hAnsi="Wingdings"/>
        <w:color w:val="000000"/>
        <w:sz w:val="15"/>
        <w:szCs w:val="15"/>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00000012"/>
    <w:multiLevelType w:val="multilevel"/>
    <w:tmpl w:val="00000012"/>
    <w:lvl w:ilvl="0" w:tentative="0">
      <w:start w:val="1"/>
      <w:numFmt w:val="decimal"/>
      <w:lvlText w:val="%1."/>
      <w:lvlJc w:val="left"/>
      <w:pPr>
        <w:tabs>
          <w:tab w:val="left" w:pos="1140"/>
        </w:tabs>
        <w:ind w:left="1140" w:hanging="42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5">
    <w:nsid w:val="00000013"/>
    <w:multiLevelType w:val="multilevel"/>
    <w:tmpl w:val="00000013"/>
    <w:lvl w:ilvl="0" w:tentative="0">
      <w:start w:val="1"/>
      <w:numFmt w:val="decimal"/>
      <w:lvlText w:val="（%1）"/>
      <w:lvlJc w:val="left"/>
      <w:pPr>
        <w:tabs>
          <w:tab w:val="left" w:pos="1440"/>
        </w:tabs>
        <w:ind w:left="1440" w:hanging="720"/>
      </w:pPr>
      <w:rPr>
        <w:rFonts w:hint="default"/>
      </w:rPr>
    </w:lvl>
    <w:lvl w:ilvl="1" w:tentative="0">
      <w:start w:val="5"/>
      <w:numFmt w:val="decimal"/>
      <w:lvlText w:val="%2."/>
      <w:lvlJc w:val="left"/>
      <w:pPr>
        <w:tabs>
          <w:tab w:val="left" w:pos="1770"/>
        </w:tabs>
        <w:ind w:left="1770" w:hanging="630"/>
      </w:pPr>
      <w:rPr>
        <w:rFonts w:hint="default" w:hAnsi="Times New Roman"/>
      </w:rPr>
    </w:lvl>
    <w:lvl w:ilvl="2" w:tentative="0">
      <w:start w:val="1"/>
      <w:numFmt w:val="japaneseCounting"/>
      <w:lvlText w:val="%3、"/>
      <w:lvlJc w:val="left"/>
      <w:pPr>
        <w:tabs>
          <w:tab w:val="left" w:pos="1980"/>
        </w:tabs>
        <w:ind w:left="1980" w:hanging="420"/>
      </w:pPr>
      <w:rPr>
        <w:rFonts w:hint="default"/>
      </w:rPr>
    </w:lvl>
    <w:lvl w:ilvl="3" w:tentative="0">
      <w:start w:val="1"/>
      <w:numFmt w:val="decimalEnclosedCircle"/>
      <w:lvlText w:val="%4"/>
      <w:lvlJc w:val="left"/>
      <w:pPr>
        <w:tabs>
          <w:tab w:val="left" w:pos="2340"/>
        </w:tabs>
        <w:ind w:left="2340" w:hanging="360"/>
      </w:pPr>
      <w:rPr>
        <w:rFonts w:hint="eastAsia"/>
      </w:rPr>
    </w:lvl>
    <w:lvl w:ilvl="4" w:tentative="0">
      <w:start w:val="4"/>
      <w:numFmt w:val="decimal"/>
      <w:lvlText w:val="%5、"/>
      <w:lvlJc w:val="left"/>
      <w:pPr>
        <w:tabs>
          <w:tab w:val="left" w:pos="2760"/>
        </w:tabs>
        <w:ind w:left="2760" w:hanging="360"/>
      </w:pPr>
      <w:rPr>
        <w:rFonts w:hint="default" w:hAnsi="宋体"/>
      </w:rPr>
    </w:lvl>
    <w:lvl w:ilvl="5" w:tentative="0">
      <w:start w:val="3"/>
      <w:numFmt w:val="decimal"/>
      <w:lvlText w:val="%6．"/>
      <w:lvlJc w:val="left"/>
      <w:pPr>
        <w:tabs>
          <w:tab w:val="left" w:pos="3180"/>
        </w:tabs>
        <w:ind w:left="3180" w:hanging="360"/>
      </w:pPr>
      <w:rPr>
        <w:rFonts w:hint="default"/>
      </w:r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6">
    <w:nsid w:val="0000003F"/>
    <w:multiLevelType w:val="multilevel"/>
    <w:tmpl w:val="0000003F"/>
    <w:lvl w:ilvl="0" w:tentative="0">
      <w:start w:val="1"/>
      <w:numFmt w:val="chineseCountingThousand"/>
      <w:lvlText w:val="%1、"/>
      <w:lvlJc w:val="left"/>
      <w:pPr>
        <w:tabs>
          <w:tab w:val="left" w:pos="840"/>
        </w:tabs>
        <w:ind w:left="840" w:hanging="420"/>
      </w:p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2CD9316E"/>
    <w:multiLevelType w:val="multilevel"/>
    <w:tmpl w:val="2CD9316E"/>
    <w:lvl w:ilvl="0" w:tentative="0">
      <w:start w:val="1"/>
      <w:numFmt w:val="decimal"/>
      <w:lvlText w:val="%1."/>
      <w:lvlJc w:val="left"/>
      <w:pPr>
        <w:tabs>
          <w:tab w:val="left" w:pos="420"/>
        </w:tabs>
        <w:ind w:left="420" w:hanging="420"/>
      </w:pPr>
      <w:rPr>
        <w:rFonts w:hint="eastAsia"/>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70EE90C"/>
    <w:multiLevelType w:val="multilevel"/>
    <w:tmpl w:val="570EE90C"/>
    <w:lvl w:ilvl="0" w:tentative="0">
      <w:start w:val="1"/>
      <w:numFmt w:val="decimal"/>
      <w:lvlText w:val="%1、"/>
      <w:lvlJc w:val="left"/>
      <w:pPr>
        <w:tabs>
          <w:tab w:val="left" w:pos="570"/>
        </w:tabs>
        <w:ind w:left="570" w:hanging="36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9">
    <w:nsid w:val="570EE917"/>
    <w:multiLevelType w:val="multilevel"/>
    <w:tmpl w:val="570EE917"/>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0">
    <w:nsid w:val="570EE922"/>
    <w:multiLevelType w:val="multilevel"/>
    <w:tmpl w:val="570EE922"/>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570EE92D"/>
    <w:multiLevelType w:val="singleLevel"/>
    <w:tmpl w:val="570EE92D"/>
    <w:lvl w:ilvl="0" w:tentative="0">
      <w:start w:val="1"/>
      <w:numFmt w:val="decimal"/>
      <w:lvlText w:val="%1、"/>
      <w:lvlJc w:val="left"/>
      <w:pPr>
        <w:tabs>
          <w:tab w:val="left" w:pos="315"/>
        </w:tabs>
        <w:ind w:left="315" w:hanging="315"/>
      </w:pPr>
    </w:lvl>
  </w:abstractNum>
  <w:abstractNum w:abstractNumId="12">
    <w:nsid w:val="644C88B8"/>
    <w:multiLevelType w:val="singleLevel"/>
    <w:tmpl w:val="644C88B8"/>
    <w:lvl w:ilvl="0" w:tentative="0">
      <w:start w:val="1"/>
      <w:numFmt w:val="decimal"/>
      <w:suff w:val="space"/>
      <w:lvlText w:val="%1."/>
      <w:lvlJc w:val="left"/>
    </w:lvl>
  </w:abstractNum>
  <w:abstractNum w:abstractNumId="13">
    <w:nsid w:val="67016540"/>
    <w:multiLevelType w:val="multilevel"/>
    <w:tmpl w:val="67016540"/>
    <w:lvl w:ilvl="0" w:tentative="0">
      <w:start w:val="1"/>
      <w:numFmt w:val="decimal"/>
      <w:lvlText w:val="%1."/>
      <w:lvlJc w:val="left"/>
      <w:pPr>
        <w:tabs>
          <w:tab w:val="left" w:pos="420"/>
        </w:tabs>
        <w:ind w:left="420" w:hanging="420"/>
      </w:pPr>
      <w:rPr>
        <w:rFonts w:hint="eastAsia"/>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20C7E87"/>
    <w:multiLevelType w:val="singleLevel"/>
    <w:tmpl w:val="720C7E87"/>
    <w:lvl w:ilvl="0" w:tentative="0">
      <w:start w:val="1"/>
      <w:numFmt w:val="decimal"/>
      <w:lvlText w:val="%1."/>
      <w:lvlJc w:val="left"/>
      <w:pPr>
        <w:ind w:left="425" w:hanging="425"/>
      </w:pPr>
      <w:rPr>
        <w:rFonts w:hint="default"/>
      </w:rPr>
    </w:lvl>
  </w:abstractNum>
  <w:num w:numId="1">
    <w:abstractNumId w:val="13"/>
  </w:num>
  <w:num w:numId="2">
    <w:abstractNumId w:val="7"/>
  </w:num>
  <w:num w:numId="3">
    <w:abstractNumId w:val="6"/>
  </w:num>
  <w:num w:numId="4">
    <w:abstractNumId w:val="14"/>
  </w:num>
  <w:num w:numId="5">
    <w:abstractNumId w:val="0"/>
  </w:num>
  <w:num w:numId="6">
    <w:abstractNumId w:val="1"/>
  </w:num>
  <w:num w:numId="7">
    <w:abstractNumId w:val="5"/>
  </w:num>
  <w:num w:numId="8">
    <w:abstractNumId w:val="3"/>
  </w:num>
  <w:num w:numId="9">
    <w:abstractNumId w:val="2"/>
  </w:num>
  <w:num w:numId="10">
    <w:abstractNumId w:val="8"/>
    <w:lvlOverride w:ilvl="0">
      <w:startOverride w:val="1"/>
    </w:lvlOverride>
  </w:num>
  <w:num w:numId="11">
    <w:abstractNumId w:val="9"/>
    <w:lvlOverride w:ilvl="0">
      <w:startOverride w:val="1"/>
    </w:lvlOverride>
  </w:num>
  <w:num w:numId="12">
    <w:abstractNumId w:val="10"/>
    <w:lvlOverride w:ilvl="0">
      <w:startOverride w:val="1"/>
    </w:lvlOverride>
  </w:num>
  <w:num w:numId="13">
    <w:abstractNumId w:val="12"/>
  </w:num>
  <w:num w:numId="14">
    <w:abstractNumId w:val="11"/>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E6"/>
    <w:rsid w:val="0006329C"/>
    <w:rsid w:val="001E4B03"/>
    <w:rsid w:val="003128E6"/>
    <w:rsid w:val="003523C9"/>
    <w:rsid w:val="00451E63"/>
    <w:rsid w:val="004B748C"/>
    <w:rsid w:val="004D6E07"/>
    <w:rsid w:val="005C728F"/>
    <w:rsid w:val="006234EC"/>
    <w:rsid w:val="00700398"/>
    <w:rsid w:val="007E2ECD"/>
    <w:rsid w:val="00853C2E"/>
    <w:rsid w:val="00A31993"/>
    <w:rsid w:val="00C25B33"/>
    <w:rsid w:val="00DE5B2C"/>
    <w:rsid w:val="00DE6CFF"/>
    <w:rsid w:val="00EB48D7"/>
    <w:rsid w:val="0CEC43CC"/>
    <w:rsid w:val="13982600"/>
    <w:rsid w:val="19F701F6"/>
    <w:rsid w:val="1A9C5006"/>
    <w:rsid w:val="1B595434"/>
    <w:rsid w:val="1C2F2DC3"/>
    <w:rsid w:val="23622DB1"/>
    <w:rsid w:val="253F7CD7"/>
    <w:rsid w:val="2B620573"/>
    <w:rsid w:val="2CDE04FE"/>
    <w:rsid w:val="301F125D"/>
    <w:rsid w:val="326E7591"/>
    <w:rsid w:val="33A7133F"/>
    <w:rsid w:val="38FD41B0"/>
    <w:rsid w:val="3B5C1D86"/>
    <w:rsid w:val="3D436BB9"/>
    <w:rsid w:val="3E475418"/>
    <w:rsid w:val="3EB84031"/>
    <w:rsid w:val="406C0DE1"/>
    <w:rsid w:val="431B68B2"/>
    <w:rsid w:val="45D03C0A"/>
    <w:rsid w:val="461248AA"/>
    <w:rsid w:val="46E03CE7"/>
    <w:rsid w:val="49E55F0B"/>
    <w:rsid w:val="4AEE2431"/>
    <w:rsid w:val="4E4F73BA"/>
    <w:rsid w:val="515D64A1"/>
    <w:rsid w:val="5369270A"/>
    <w:rsid w:val="53B85051"/>
    <w:rsid w:val="56574047"/>
    <w:rsid w:val="5BDC563A"/>
    <w:rsid w:val="5C056462"/>
    <w:rsid w:val="5CC85088"/>
    <w:rsid w:val="5F92473A"/>
    <w:rsid w:val="637D5477"/>
    <w:rsid w:val="64FB3976"/>
    <w:rsid w:val="673840DE"/>
    <w:rsid w:val="68152300"/>
    <w:rsid w:val="689809C1"/>
    <w:rsid w:val="70D5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5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0"/>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link w:val="61"/>
    <w:qFormat/>
    <w:uiPriority w:val="0"/>
    <w:pPr>
      <w:widowControl w:val="0"/>
      <w:tabs>
        <w:tab w:val="left" w:pos="851"/>
      </w:tabs>
      <w:spacing w:line="360" w:lineRule="auto"/>
      <w:ind w:left="851" w:hanging="851"/>
      <w:jc w:val="both"/>
      <w:outlineLvl w:val="2"/>
    </w:pPr>
    <w:rPr>
      <w:rFonts w:ascii="宋体" w:hAnsi="宋体"/>
      <w:b/>
      <w:kern w:val="2"/>
      <w:sz w:val="32"/>
    </w:rPr>
  </w:style>
  <w:style w:type="paragraph" w:styleId="6">
    <w:name w:val="heading 4"/>
    <w:basedOn w:val="1"/>
    <w:next w:val="1"/>
    <w:link w:val="62"/>
    <w:qFormat/>
    <w:uiPriority w:val="0"/>
    <w:pPr>
      <w:keepNext/>
      <w:keepLines/>
      <w:tabs>
        <w:tab w:val="left" w:pos="864"/>
      </w:tabs>
      <w:spacing w:before="280" w:after="290" w:line="372" w:lineRule="auto"/>
      <w:ind w:left="864" w:hanging="864"/>
      <w:outlineLvl w:val="3"/>
    </w:pPr>
    <w:rPr>
      <w:rFonts w:ascii="Arial" w:hAnsi="Arial" w:eastAsia="黑体"/>
      <w:b/>
      <w:bCs/>
      <w:sz w:val="28"/>
      <w:szCs w:val="28"/>
    </w:rPr>
  </w:style>
  <w:style w:type="paragraph" w:styleId="7">
    <w:name w:val="heading 5"/>
    <w:basedOn w:val="1"/>
    <w:next w:val="1"/>
    <w:link w:val="63"/>
    <w:qFormat/>
    <w:uiPriority w:val="0"/>
    <w:pPr>
      <w:keepNext/>
      <w:keepLines/>
      <w:tabs>
        <w:tab w:val="left" w:pos="1008"/>
      </w:tabs>
      <w:spacing w:before="280" w:after="290" w:line="372" w:lineRule="auto"/>
      <w:ind w:left="1008" w:hanging="1008"/>
      <w:outlineLvl w:val="4"/>
    </w:pPr>
    <w:rPr>
      <w:b/>
      <w:bCs/>
      <w:sz w:val="28"/>
      <w:szCs w:val="28"/>
    </w:rPr>
  </w:style>
  <w:style w:type="paragraph" w:styleId="8">
    <w:name w:val="heading 6"/>
    <w:basedOn w:val="1"/>
    <w:next w:val="1"/>
    <w:link w:val="64"/>
    <w:qFormat/>
    <w:uiPriority w:val="0"/>
    <w:pPr>
      <w:keepNext/>
      <w:keepLines/>
      <w:tabs>
        <w:tab w:val="left" w:pos="1152"/>
      </w:tabs>
      <w:spacing w:before="240" w:after="64" w:line="317" w:lineRule="auto"/>
      <w:ind w:left="1152" w:hanging="1152"/>
      <w:outlineLvl w:val="5"/>
    </w:pPr>
    <w:rPr>
      <w:rFonts w:ascii="Arial" w:hAnsi="Arial" w:eastAsia="黑体"/>
      <w:b/>
      <w:bCs/>
      <w:sz w:val="24"/>
      <w:szCs w:val="24"/>
    </w:rPr>
  </w:style>
  <w:style w:type="paragraph" w:styleId="9">
    <w:name w:val="heading 7"/>
    <w:basedOn w:val="1"/>
    <w:next w:val="1"/>
    <w:link w:val="65"/>
    <w:qFormat/>
    <w:uiPriority w:val="0"/>
    <w:pPr>
      <w:keepNext/>
      <w:keepLines/>
      <w:tabs>
        <w:tab w:val="left" w:pos="1296"/>
      </w:tabs>
      <w:spacing w:before="240" w:after="64" w:line="317" w:lineRule="auto"/>
      <w:ind w:left="1296" w:hanging="1296"/>
      <w:outlineLvl w:val="6"/>
    </w:pPr>
    <w:rPr>
      <w:b/>
      <w:bCs/>
      <w:sz w:val="24"/>
      <w:szCs w:val="24"/>
    </w:rPr>
  </w:style>
  <w:style w:type="paragraph" w:styleId="10">
    <w:name w:val="heading 8"/>
    <w:basedOn w:val="1"/>
    <w:next w:val="1"/>
    <w:link w:val="66"/>
    <w:qFormat/>
    <w:uiPriority w:val="0"/>
    <w:pPr>
      <w:keepNext/>
      <w:keepLines/>
      <w:tabs>
        <w:tab w:val="left" w:pos="1440"/>
      </w:tabs>
      <w:spacing w:before="240" w:after="64" w:line="317" w:lineRule="auto"/>
      <w:ind w:left="1440" w:hanging="1440"/>
      <w:outlineLvl w:val="7"/>
    </w:pPr>
    <w:rPr>
      <w:rFonts w:ascii="Arial" w:hAnsi="Arial" w:eastAsia="黑体"/>
      <w:sz w:val="24"/>
      <w:szCs w:val="24"/>
    </w:rPr>
  </w:style>
  <w:style w:type="paragraph" w:styleId="11">
    <w:name w:val="heading 9"/>
    <w:basedOn w:val="1"/>
    <w:next w:val="1"/>
    <w:link w:val="67"/>
    <w:qFormat/>
    <w:uiPriority w:val="0"/>
    <w:pPr>
      <w:keepNext/>
      <w:keepLines/>
      <w:tabs>
        <w:tab w:val="left" w:pos="1584"/>
      </w:tabs>
      <w:spacing w:before="240" w:after="64" w:line="317" w:lineRule="auto"/>
      <w:ind w:left="1584" w:hanging="1584"/>
      <w:outlineLvl w:val="8"/>
    </w:pPr>
    <w:rPr>
      <w:rFonts w:ascii="Arial" w:hAnsi="Arial" w:eastAsia="黑体"/>
      <w:szCs w:val="21"/>
    </w:rPr>
  </w:style>
  <w:style w:type="character" w:default="1" w:styleId="49">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119"/>
    <w:qFormat/>
    <w:uiPriority w:val="0"/>
    <w:pPr>
      <w:widowControl w:val="0"/>
      <w:ind w:firstLine="420" w:firstLineChars="200"/>
      <w:jc w:val="both"/>
    </w:pPr>
    <w:rPr>
      <w:rFonts w:asciiTheme="minorHAnsi" w:hAnsiTheme="minorHAnsi" w:cstheme="minorBidi"/>
      <w:kern w:val="2"/>
      <w:szCs w:val="24"/>
    </w:rPr>
  </w:style>
  <w:style w:type="paragraph" w:styleId="12">
    <w:name w:val="annotation subject"/>
    <w:basedOn w:val="13"/>
    <w:next w:val="13"/>
    <w:link w:val="145"/>
    <w:qFormat/>
    <w:uiPriority w:val="0"/>
    <w:pPr>
      <w:widowControl w:val="0"/>
    </w:pPr>
    <w:rPr>
      <w:rFonts w:ascii="宋体" w:hAnsi="宋体" w:cstheme="minorBidi"/>
      <w:b/>
      <w:bCs/>
      <w:kern w:val="2"/>
      <w:sz w:val="28"/>
      <w:szCs w:val="28"/>
    </w:rPr>
  </w:style>
  <w:style w:type="paragraph" w:styleId="13">
    <w:name w:val="annotation text"/>
    <w:basedOn w:val="1"/>
    <w:link w:val="144"/>
    <w:unhideWhenUsed/>
    <w:qFormat/>
    <w:uiPriority w:val="0"/>
  </w:style>
  <w:style w:type="paragraph" w:styleId="14">
    <w:name w:val="toc 7"/>
    <w:basedOn w:val="1"/>
    <w:next w:val="1"/>
    <w:qFormat/>
    <w:uiPriority w:val="0"/>
    <w:pPr>
      <w:widowControl w:val="0"/>
      <w:ind w:left="2520" w:leftChars="1200"/>
      <w:jc w:val="both"/>
    </w:pPr>
    <w:rPr>
      <w:kern w:val="2"/>
      <w:szCs w:val="24"/>
    </w:rPr>
  </w:style>
  <w:style w:type="paragraph" w:styleId="15">
    <w:name w:val="Body Text First Indent"/>
    <w:basedOn w:val="16"/>
    <w:link w:val="149"/>
    <w:qFormat/>
    <w:uiPriority w:val="0"/>
    <w:pPr>
      <w:widowControl w:val="0"/>
      <w:spacing w:after="0" w:line="360" w:lineRule="auto"/>
      <w:ind w:firstLine="425"/>
      <w:jc w:val="both"/>
    </w:pPr>
    <w:rPr>
      <w:rFonts w:asciiTheme="minorHAnsi" w:hAnsiTheme="minorHAnsi" w:cstheme="minorBidi"/>
      <w:kern w:val="2"/>
      <w:sz w:val="24"/>
      <w:szCs w:val="22"/>
    </w:rPr>
  </w:style>
  <w:style w:type="paragraph" w:styleId="16">
    <w:name w:val="Body Text"/>
    <w:basedOn w:val="1"/>
    <w:link w:val="148"/>
    <w:unhideWhenUsed/>
    <w:qFormat/>
    <w:uiPriority w:val="0"/>
    <w:pPr>
      <w:spacing w:after="120"/>
    </w:pPr>
  </w:style>
  <w:style w:type="paragraph" w:styleId="17">
    <w:name w:val="index 8"/>
    <w:basedOn w:val="1"/>
    <w:next w:val="1"/>
    <w:qFormat/>
    <w:uiPriority w:val="0"/>
    <w:pPr>
      <w:widowControl w:val="0"/>
      <w:ind w:left="1400" w:leftChars="1400"/>
      <w:jc w:val="both"/>
    </w:pPr>
    <w:rPr>
      <w:kern w:val="2"/>
      <w:szCs w:val="24"/>
    </w:rPr>
  </w:style>
  <w:style w:type="paragraph" w:styleId="18">
    <w:name w:val="caption"/>
    <w:basedOn w:val="1"/>
    <w:next w:val="1"/>
    <w:qFormat/>
    <w:uiPriority w:val="0"/>
    <w:pPr>
      <w:widowControl w:val="0"/>
      <w:spacing w:before="152" w:after="160" w:line="360" w:lineRule="auto"/>
      <w:jc w:val="both"/>
    </w:pPr>
    <w:rPr>
      <w:rFonts w:ascii="Arial" w:hAnsi="Arial" w:eastAsia="黑体" w:cs="Arial"/>
      <w:kern w:val="2"/>
      <w:sz w:val="20"/>
    </w:rPr>
  </w:style>
  <w:style w:type="paragraph" w:styleId="19">
    <w:name w:val="Document Map"/>
    <w:basedOn w:val="1"/>
    <w:link w:val="141"/>
    <w:qFormat/>
    <w:uiPriority w:val="0"/>
    <w:pPr>
      <w:shd w:val="clear" w:color="auto" w:fill="000080"/>
    </w:pPr>
    <w:rPr>
      <w:rFonts w:asciiTheme="minorHAnsi" w:hAnsiTheme="minorHAnsi" w:cstheme="minorBidi"/>
      <w:kern w:val="2"/>
      <w:szCs w:val="22"/>
    </w:rPr>
  </w:style>
  <w:style w:type="paragraph" w:styleId="20">
    <w:name w:val="toa heading"/>
    <w:basedOn w:val="1"/>
    <w:next w:val="1"/>
    <w:qFormat/>
    <w:uiPriority w:val="0"/>
    <w:pPr>
      <w:widowControl w:val="0"/>
      <w:autoSpaceDE w:val="0"/>
      <w:autoSpaceDN w:val="0"/>
      <w:adjustRightInd w:val="0"/>
      <w:snapToGrid w:val="0"/>
      <w:spacing w:before="120" w:line="360" w:lineRule="auto"/>
      <w:jc w:val="both"/>
    </w:pPr>
    <w:rPr>
      <w:rFonts w:ascii="Arial" w:hAnsi="Arial"/>
      <w:snapToGrid w:val="0"/>
      <w:color w:val="000000"/>
    </w:rPr>
  </w:style>
  <w:style w:type="paragraph" w:styleId="21">
    <w:name w:val="Body Text 3"/>
    <w:basedOn w:val="1"/>
    <w:link w:val="152"/>
    <w:qFormat/>
    <w:uiPriority w:val="0"/>
    <w:pPr>
      <w:widowControl w:val="0"/>
      <w:spacing w:after="120" w:line="360" w:lineRule="auto"/>
      <w:jc w:val="both"/>
    </w:pPr>
    <w:rPr>
      <w:rFonts w:asciiTheme="minorHAnsi" w:hAnsiTheme="minorHAnsi" w:cstheme="minorBidi"/>
      <w:kern w:val="2"/>
      <w:sz w:val="16"/>
      <w:szCs w:val="16"/>
    </w:rPr>
  </w:style>
  <w:style w:type="paragraph" w:styleId="22">
    <w:name w:val="Body Text Indent"/>
    <w:basedOn w:val="1"/>
    <w:link w:val="151"/>
    <w:qFormat/>
    <w:uiPriority w:val="0"/>
    <w:pPr>
      <w:widowControl w:val="0"/>
      <w:spacing w:line="360" w:lineRule="auto"/>
      <w:ind w:left="608" w:hanging="608"/>
      <w:jc w:val="both"/>
    </w:pPr>
    <w:rPr>
      <w:rFonts w:ascii="宋体" w:hAnsiTheme="minorHAnsi" w:cstheme="minorBidi"/>
      <w:kern w:val="2"/>
      <w:sz w:val="28"/>
      <w:szCs w:val="22"/>
    </w:rPr>
  </w:style>
  <w:style w:type="paragraph" w:styleId="23">
    <w:name w:val="toc 5"/>
    <w:basedOn w:val="1"/>
    <w:next w:val="1"/>
    <w:qFormat/>
    <w:uiPriority w:val="0"/>
    <w:pPr>
      <w:widowControl w:val="0"/>
      <w:ind w:left="1680" w:leftChars="800"/>
      <w:jc w:val="both"/>
    </w:pPr>
    <w:rPr>
      <w:kern w:val="2"/>
      <w:szCs w:val="24"/>
    </w:rPr>
  </w:style>
  <w:style w:type="paragraph" w:styleId="24">
    <w:name w:val="toc 3"/>
    <w:basedOn w:val="1"/>
    <w:next w:val="1"/>
    <w:qFormat/>
    <w:uiPriority w:val="0"/>
    <w:pPr>
      <w:widowControl w:val="0"/>
      <w:ind w:left="840" w:leftChars="400"/>
      <w:jc w:val="both"/>
    </w:pPr>
    <w:rPr>
      <w:kern w:val="2"/>
      <w:szCs w:val="24"/>
    </w:rPr>
  </w:style>
  <w:style w:type="paragraph" w:styleId="25">
    <w:name w:val="Plain Text"/>
    <w:basedOn w:val="1"/>
    <w:link w:val="147"/>
    <w:qFormat/>
    <w:uiPriority w:val="0"/>
    <w:pPr>
      <w:widowControl w:val="0"/>
      <w:jc w:val="both"/>
    </w:pPr>
    <w:rPr>
      <w:rFonts w:ascii="宋体" w:hAnsi="Courier New" w:cstheme="minorBidi"/>
      <w:kern w:val="2"/>
      <w:szCs w:val="22"/>
    </w:rPr>
  </w:style>
  <w:style w:type="paragraph" w:styleId="26">
    <w:name w:val="toc 8"/>
    <w:basedOn w:val="1"/>
    <w:next w:val="1"/>
    <w:qFormat/>
    <w:uiPriority w:val="0"/>
    <w:pPr>
      <w:widowControl w:val="0"/>
      <w:ind w:left="2940" w:leftChars="1400"/>
      <w:jc w:val="both"/>
    </w:pPr>
    <w:rPr>
      <w:kern w:val="2"/>
      <w:szCs w:val="24"/>
    </w:rPr>
  </w:style>
  <w:style w:type="paragraph" w:styleId="27">
    <w:name w:val="Date"/>
    <w:basedOn w:val="1"/>
    <w:next w:val="1"/>
    <w:link w:val="140"/>
    <w:qFormat/>
    <w:uiPriority w:val="0"/>
    <w:pPr>
      <w:widowControl w:val="0"/>
      <w:autoSpaceDE w:val="0"/>
      <w:autoSpaceDN w:val="0"/>
      <w:adjustRightInd w:val="0"/>
      <w:jc w:val="both"/>
      <w:textAlignment w:val="baseline"/>
    </w:pPr>
    <w:rPr>
      <w:rFonts w:ascii="宋体" w:hAnsiTheme="minorHAnsi" w:cstheme="minorBidi"/>
      <w:kern w:val="2"/>
      <w:sz w:val="28"/>
      <w:szCs w:val="22"/>
    </w:rPr>
  </w:style>
  <w:style w:type="paragraph" w:styleId="28">
    <w:name w:val="Body Text Indent 2"/>
    <w:basedOn w:val="1"/>
    <w:link w:val="146"/>
    <w:qFormat/>
    <w:uiPriority w:val="0"/>
    <w:pPr>
      <w:spacing w:after="120" w:line="480" w:lineRule="auto"/>
      <w:ind w:left="420" w:leftChars="200"/>
    </w:pPr>
    <w:rPr>
      <w:rFonts w:asciiTheme="minorHAnsi" w:hAnsiTheme="minorHAnsi" w:cstheme="minorBidi"/>
      <w:kern w:val="2"/>
      <w:szCs w:val="22"/>
    </w:rPr>
  </w:style>
  <w:style w:type="paragraph" w:styleId="29">
    <w:name w:val="endnote text"/>
    <w:basedOn w:val="1"/>
    <w:link w:val="153"/>
    <w:qFormat/>
    <w:uiPriority w:val="0"/>
    <w:pPr>
      <w:widowControl w:val="0"/>
      <w:adjustRightInd w:val="0"/>
      <w:spacing w:line="315" w:lineRule="atLeast"/>
      <w:ind w:firstLine="425"/>
      <w:textAlignment w:val="baseline"/>
    </w:pPr>
    <w:rPr>
      <w:rFonts w:ascii="宋体" w:hAnsiTheme="minorHAnsi" w:cstheme="minorBidi"/>
      <w:kern w:val="2"/>
      <w:sz w:val="24"/>
      <w:szCs w:val="22"/>
    </w:rPr>
  </w:style>
  <w:style w:type="paragraph" w:styleId="30">
    <w:name w:val="Balloon Text"/>
    <w:basedOn w:val="1"/>
    <w:link w:val="157"/>
    <w:qFormat/>
    <w:uiPriority w:val="0"/>
    <w:rPr>
      <w:rFonts w:asciiTheme="minorHAnsi" w:hAnsiTheme="minorHAnsi" w:cstheme="minorBidi"/>
      <w:kern w:val="2"/>
      <w:sz w:val="18"/>
      <w:szCs w:val="18"/>
    </w:rPr>
  </w:style>
  <w:style w:type="paragraph" w:styleId="31">
    <w:name w:val="footer"/>
    <w:basedOn w:val="1"/>
    <w:link w:val="158"/>
    <w:qFormat/>
    <w:uiPriority w:val="0"/>
    <w:pPr>
      <w:tabs>
        <w:tab w:val="center" w:pos="4153"/>
        <w:tab w:val="right" w:pos="8306"/>
      </w:tabs>
      <w:snapToGrid w:val="0"/>
    </w:pPr>
    <w:rPr>
      <w:rFonts w:asciiTheme="minorHAnsi" w:hAnsiTheme="minorHAnsi" w:cstheme="minorBidi"/>
      <w:kern w:val="2"/>
      <w:sz w:val="18"/>
      <w:szCs w:val="18"/>
    </w:rPr>
  </w:style>
  <w:style w:type="paragraph" w:styleId="32">
    <w:name w:val="Body Text First Indent 2"/>
    <w:basedOn w:val="22"/>
    <w:link w:val="159"/>
    <w:qFormat/>
    <w:uiPriority w:val="0"/>
    <w:pPr>
      <w:snapToGrid w:val="0"/>
      <w:spacing w:after="120"/>
      <w:ind w:left="420" w:firstLine="420" w:firstLineChars="200"/>
    </w:pPr>
    <w:rPr>
      <w:rFonts w:ascii="Tahoma" w:hAnsi="Tahoma"/>
      <w:szCs w:val="24"/>
    </w:rPr>
  </w:style>
  <w:style w:type="paragraph" w:styleId="33">
    <w:name w:val="header"/>
    <w:basedOn w:val="1"/>
    <w:link w:val="155"/>
    <w:qFormat/>
    <w:uiPriority w:val="0"/>
    <w:pPr>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34">
    <w:name w:val="toc 1"/>
    <w:basedOn w:val="1"/>
    <w:next w:val="1"/>
    <w:qFormat/>
    <w:uiPriority w:val="0"/>
    <w:pPr>
      <w:tabs>
        <w:tab w:val="left" w:pos="3420"/>
      </w:tabs>
      <w:spacing w:line="480" w:lineRule="exact"/>
      <w:jc w:val="center"/>
    </w:pPr>
    <w:rPr>
      <w:rFonts w:ascii="宋体"/>
      <w:b/>
      <w:bCs/>
      <w:sz w:val="24"/>
      <w:szCs w:val="24"/>
    </w:rPr>
  </w:style>
  <w:style w:type="paragraph" w:styleId="35">
    <w:name w:val="toc 4"/>
    <w:basedOn w:val="1"/>
    <w:next w:val="1"/>
    <w:qFormat/>
    <w:uiPriority w:val="0"/>
    <w:pPr>
      <w:widowControl w:val="0"/>
      <w:ind w:left="1260" w:leftChars="600"/>
      <w:jc w:val="both"/>
    </w:pPr>
    <w:rPr>
      <w:kern w:val="2"/>
      <w:szCs w:val="24"/>
    </w:rPr>
  </w:style>
  <w:style w:type="paragraph" w:styleId="36">
    <w:name w:val="index heading"/>
    <w:basedOn w:val="1"/>
    <w:next w:val="37"/>
    <w:qFormat/>
    <w:uiPriority w:val="0"/>
    <w:pPr>
      <w:widowControl w:val="0"/>
      <w:jc w:val="both"/>
    </w:pPr>
    <w:rPr>
      <w:kern w:val="2"/>
    </w:rPr>
  </w:style>
  <w:style w:type="paragraph" w:styleId="37">
    <w:name w:val="index 1"/>
    <w:basedOn w:val="1"/>
    <w:next w:val="1"/>
    <w:semiHidden/>
    <w:qFormat/>
    <w:uiPriority w:val="0"/>
  </w:style>
  <w:style w:type="paragraph" w:styleId="38">
    <w:name w:val="List"/>
    <w:basedOn w:val="1"/>
    <w:qFormat/>
    <w:uiPriority w:val="0"/>
    <w:pPr>
      <w:widowControl w:val="0"/>
      <w:adjustRightInd w:val="0"/>
      <w:spacing w:line="300" w:lineRule="auto"/>
      <w:ind w:left="420" w:hanging="420" w:firstLineChars="200"/>
      <w:jc w:val="both"/>
      <w:textAlignment w:val="baseline"/>
    </w:pPr>
    <w:rPr>
      <w:sz w:val="24"/>
    </w:rPr>
  </w:style>
  <w:style w:type="paragraph" w:styleId="39">
    <w:name w:val="footnote text"/>
    <w:basedOn w:val="1"/>
    <w:link w:val="160"/>
    <w:qFormat/>
    <w:uiPriority w:val="0"/>
    <w:pPr>
      <w:widowControl w:val="0"/>
      <w:snapToGrid w:val="0"/>
      <w:spacing w:line="360" w:lineRule="auto"/>
    </w:pPr>
    <w:rPr>
      <w:rFonts w:asciiTheme="minorHAnsi" w:hAnsiTheme="minorHAnsi" w:cstheme="minorBidi"/>
      <w:kern w:val="2"/>
      <w:sz w:val="18"/>
      <w:szCs w:val="18"/>
    </w:rPr>
  </w:style>
  <w:style w:type="paragraph" w:styleId="40">
    <w:name w:val="toc 6"/>
    <w:basedOn w:val="1"/>
    <w:next w:val="1"/>
    <w:qFormat/>
    <w:uiPriority w:val="0"/>
    <w:pPr>
      <w:widowControl w:val="0"/>
      <w:ind w:left="2100" w:leftChars="1000"/>
      <w:jc w:val="both"/>
    </w:pPr>
    <w:rPr>
      <w:kern w:val="2"/>
      <w:szCs w:val="24"/>
    </w:rPr>
  </w:style>
  <w:style w:type="paragraph" w:styleId="41">
    <w:name w:val="Body Text Indent 3"/>
    <w:basedOn w:val="1"/>
    <w:link w:val="162"/>
    <w:qFormat/>
    <w:uiPriority w:val="0"/>
    <w:pPr>
      <w:widowControl w:val="0"/>
      <w:spacing w:after="120"/>
      <w:ind w:left="420" w:leftChars="200"/>
      <w:jc w:val="both"/>
    </w:pPr>
    <w:rPr>
      <w:rFonts w:asciiTheme="minorHAnsi" w:hAnsiTheme="minorHAnsi" w:cstheme="minorBidi"/>
      <w:kern w:val="2"/>
      <w:sz w:val="16"/>
      <w:szCs w:val="16"/>
    </w:rPr>
  </w:style>
  <w:style w:type="paragraph" w:styleId="42">
    <w:name w:val="table of figures"/>
    <w:basedOn w:val="24"/>
    <w:next w:val="1"/>
    <w:qFormat/>
    <w:uiPriority w:val="0"/>
    <w:pPr>
      <w:spacing w:line="360" w:lineRule="auto"/>
      <w:ind w:left="0" w:leftChars="0" w:hanging="420"/>
      <w:jc w:val="left"/>
    </w:pPr>
    <w:rPr>
      <w:iCs/>
      <w:sz w:val="24"/>
    </w:rPr>
  </w:style>
  <w:style w:type="paragraph" w:styleId="43">
    <w:name w:val="toc 2"/>
    <w:basedOn w:val="1"/>
    <w:next w:val="1"/>
    <w:qFormat/>
    <w:uiPriority w:val="0"/>
    <w:pPr>
      <w:widowControl w:val="0"/>
      <w:tabs>
        <w:tab w:val="right" w:leader="dot" w:pos="8296"/>
      </w:tabs>
      <w:ind w:firstLine="1619" w:firstLineChars="576"/>
      <w:jc w:val="both"/>
    </w:pPr>
    <w:rPr>
      <w:kern w:val="2"/>
      <w:szCs w:val="30"/>
    </w:rPr>
  </w:style>
  <w:style w:type="paragraph" w:styleId="44">
    <w:name w:val="toc 9"/>
    <w:basedOn w:val="1"/>
    <w:next w:val="1"/>
    <w:qFormat/>
    <w:uiPriority w:val="0"/>
    <w:pPr>
      <w:widowControl w:val="0"/>
      <w:ind w:left="3360" w:leftChars="1600"/>
      <w:jc w:val="both"/>
    </w:pPr>
    <w:rPr>
      <w:kern w:val="2"/>
      <w:szCs w:val="24"/>
    </w:rPr>
  </w:style>
  <w:style w:type="paragraph" w:styleId="45">
    <w:name w:val="Body Text 2"/>
    <w:basedOn w:val="1"/>
    <w:link w:val="161"/>
    <w:qFormat/>
    <w:uiPriority w:val="0"/>
    <w:pPr>
      <w:widowControl w:val="0"/>
      <w:spacing w:line="360" w:lineRule="auto"/>
      <w:jc w:val="both"/>
    </w:pPr>
    <w:rPr>
      <w:rFonts w:eastAsia="仿宋_GB2312" w:asciiTheme="minorHAnsi" w:hAnsiTheme="minorHAnsi" w:cstheme="minorBidi"/>
      <w:b/>
      <w:bCs/>
      <w:kern w:val="2"/>
      <w:sz w:val="24"/>
      <w:szCs w:val="22"/>
    </w:rPr>
  </w:style>
  <w:style w:type="paragraph" w:styleId="46">
    <w:name w:val="HTML Preformatted"/>
    <w:basedOn w:val="1"/>
    <w:link w:val="16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4"/>
    </w:rPr>
  </w:style>
  <w:style w:type="paragraph" w:styleId="47">
    <w:name w:val="Normal (Web)"/>
    <w:basedOn w:val="1"/>
    <w:qFormat/>
    <w:uiPriority w:val="0"/>
    <w:pPr>
      <w:spacing w:before="100" w:beforeAutospacing="1" w:after="100" w:afterAutospacing="1"/>
    </w:pPr>
    <w:rPr>
      <w:rFonts w:ascii="宋体" w:hAnsi="宋体" w:cs="宋体"/>
      <w:sz w:val="24"/>
      <w:szCs w:val="24"/>
    </w:rPr>
  </w:style>
  <w:style w:type="paragraph" w:styleId="48">
    <w:name w:val="Title"/>
    <w:basedOn w:val="1"/>
    <w:link w:val="165"/>
    <w:qFormat/>
    <w:uiPriority w:val="0"/>
    <w:pPr>
      <w:widowControl w:val="0"/>
      <w:tabs>
        <w:tab w:val="left" w:pos="420"/>
      </w:tabs>
      <w:adjustRightInd w:val="0"/>
      <w:spacing w:before="120" w:line="360" w:lineRule="auto"/>
      <w:ind w:left="420" w:hanging="420"/>
      <w:jc w:val="both"/>
      <w:textAlignment w:val="baseline"/>
    </w:pPr>
    <w:rPr>
      <w:rFonts w:eastAsia="隶书_GB2312" w:asciiTheme="minorHAnsi" w:hAnsiTheme="minorHAnsi" w:cstheme="minorBidi"/>
      <w:b/>
      <w:kern w:val="2"/>
      <w:sz w:val="48"/>
      <w:szCs w:val="22"/>
    </w:rPr>
  </w:style>
  <w:style w:type="character" w:styleId="50">
    <w:name w:val="Strong"/>
    <w:basedOn w:val="49"/>
    <w:qFormat/>
    <w:uiPriority w:val="0"/>
    <w:rPr>
      <w:b/>
      <w:bCs/>
    </w:rPr>
  </w:style>
  <w:style w:type="character" w:styleId="51">
    <w:name w:val="page number"/>
    <w:basedOn w:val="49"/>
    <w:qFormat/>
    <w:uiPriority w:val="0"/>
  </w:style>
  <w:style w:type="character" w:styleId="52">
    <w:name w:val="FollowedHyperlink"/>
    <w:basedOn w:val="49"/>
    <w:qFormat/>
    <w:uiPriority w:val="0"/>
    <w:rPr>
      <w:color w:val="800080"/>
      <w:u w:val="single"/>
    </w:rPr>
  </w:style>
  <w:style w:type="character" w:styleId="53">
    <w:name w:val="Emphasis"/>
    <w:basedOn w:val="49"/>
    <w:qFormat/>
    <w:uiPriority w:val="0"/>
    <w:rPr>
      <w:i/>
      <w:iCs/>
    </w:rPr>
  </w:style>
  <w:style w:type="character" w:styleId="54">
    <w:name w:val="HTML Typewriter"/>
    <w:basedOn w:val="49"/>
    <w:qFormat/>
    <w:uiPriority w:val="0"/>
    <w:rPr>
      <w:rFonts w:ascii="宋体" w:hAnsi="宋体" w:eastAsia="宋体" w:cs="宋体"/>
      <w:sz w:val="24"/>
      <w:szCs w:val="24"/>
    </w:rPr>
  </w:style>
  <w:style w:type="character" w:styleId="55">
    <w:name w:val="Hyperlink"/>
    <w:basedOn w:val="49"/>
    <w:qFormat/>
    <w:uiPriority w:val="0"/>
    <w:rPr>
      <w:color w:val="0000FF"/>
      <w:u w:val="single"/>
    </w:rPr>
  </w:style>
  <w:style w:type="character" w:styleId="56">
    <w:name w:val="annotation reference"/>
    <w:basedOn w:val="49"/>
    <w:qFormat/>
    <w:uiPriority w:val="0"/>
    <w:rPr>
      <w:sz w:val="21"/>
      <w:szCs w:val="21"/>
    </w:rPr>
  </w:style>
  <w:style w:type="character" w:styleId="57">
    <w:name w:val="footnote reference"/>
    <w:basedOn w:val="49"/>
    <w:qFormat/>
    <w:uiPriority w:val="0"/>
    <w:rPr>
      <w:vertAlign w:val="superscript"/>
    </w:rPr>
  </w:style>
  <w:style w:type="character" w:customStyle="1" w:styleId="59">
    <w:name w:val="标题 1 Char"/>
    <w:basedOn w:val="49"/>
    <w:link w:val="2"/>
    <w:qFormat/>
    <w:uiPriority w:val="0"/>
    <w:rPr>
      <w:rFonts w:ascii="Times New Roman" w:hAnsi="Times New Roman" w:eastAsia="宋体" w:cs="Times New Roman"/>
      <w:b/>
      <w:bCs/>
      <w:kern w:val="44"/>
      <w:sz w:val="44"/>
      <w:szCs w:val="44"/>
    </w:rPr>
  </w:style>
  <w:style w:type="character" w:customStyle="1" w:styleId="60">
    <w:name w:val="标题 2 Char"/>
    <w:basedOn w:val="49"/>
    <w:link w:val="3"/>
    <w:qFormat/>
    <w:uiPriority w:val="0"/>
    <w:rPr>
      <w:rFonts w:ascii="Arial" w:hAnsi="Arial" w:eastAsia="黑体" w:cs="Times New Roman"/>
      <w:b/>
      <w:bCs/>
      <w:kern w:val="0"/>
      <w:sz w:val="32"/>
      <w:szCs w:val="32"/>
    </w:rPr>
  </w:style>
  <w:style w:type="character" w:customStyle="1" w:styleId="61">
    <w:name w:val="标题 3 Char"/>
    <w:basedOn w:val="49"/>
    <w:link w:val="4"/>
    <w:qFormat/>
    <w:uiPriority w:val="0"/>
    <w:rPr>
      <w:rFonts w:ascii="宋体" w:hAnsi="宋体" w:eastAsia="宋体" w:cs="Times New Roman"/>
      <w:b/>
      <w:sz w:val="32"/>
      <w:szCs w:val="20"/>
    </w:rPr>
  </w:style>
  <w:style w:type="character" w:customStyle="1" w:styleId="62">
    <w:name w:val="标题 4 Char"/>
    <w:basedOn w:val="49"/>
    <w:link w:val="6"/>
    <w:qFormat/>
    <w:uiPriority w:val="0"/>
    <w:rPr>
      <w:rFonts w:ascii="Arial" w:hAnsi="Arial" w:eastAsia="黑体" w:cs="Times New Roman"/>
      <w:b/>
      <w:bCs/>
      <w:kern w:val="0"/>
      <w:sz w:val="28"/>
      <w:szCs w:val="28"/>
    </w:rPr>
  </w:style>
  <w:style w:type="character" w:customStyle="1" w:styleId="63">
    <w:name w:val="标题 5 Char"/>
    <w:basedOn w:val="49"/>
    <w:link w:val="7"/>
    <w:qFormat/>
    <w:uiPriority w:val="0"/>
    <w:rPr>
      <w:rFonts w:ascii="Times New Roman" w:hAnsi="Times New Roman" w:eastAsia="宋体" w:cs="Times New Roman"/>
      <w:b/>
      <w:bCs/>
      <w:kern w:val="0"/>
      <w:sz w:val="28"/>
      <w:szCs w:val="28"/>
    </w:rPr>
  </w:style>
  <w:style w:type="character" w:customStyle="1" w:styleId="64">
    <w:name w:val="标题 6 Char"/>
    <w:basedOn w:val="49"/>
    <w:link w:val="8"/>
    <w:qFormat/>
    <w:uiPriority w:val="0"/>
    <w:rPr>
      <w:rFonts w:ascii="Arial" w:hAnsi="Arial" w:eastAsia="黑体" w:cs="Times New Roman"/>
      <w:b/>
      <w:bCs/>
      <w:kern w:val="0"/>
      <w:sz w:val="24"/>
      <w:szCs w:val="24"/>
    </w:rPr>
  </w:style>
  <w:style w:type="character" w:customStyle="1" w:styleId="65">
    <w:name w:val="标题 7 Char"/>
    <w:basedOn w:val="49"/>
    <w:link w:val="9"/>
    <w:qFormat/>
    <w:uiPriority w:val="0"/>
    <w:rPr>
      <w:rFonts w:ascii="Times New Roman" w:hAnsi="Times New Roman" w:eastAsia="宋体" w:cs="Times New Roman"/>
      <w:b/>
      <w:bCs/>
      <w:kern w:val="0"/>
      <w:sz w:val="24"/>
      <w:szCs w:val="24"/>
    </w:rPr>
  </w:style>
  <w:style w:type="character" w:customStyle="1" w:styleId="66">
    <w:name w:val="标题 8 Char"/>
    <w:basedOn w:val="49"/>
    <w:link w:val="10"/>
    <w:qFormat/>
    <w:uiPriority w:val="0"/>
    <w:rPr>
      <w:rFonts w:ascii="Arial" w:hAnsi="Arial" w:eastAsia="黑体" w:cs="Times New Roman"/>
      <w:kern w:val="0"/>
      <w:sz w:val="24"/>
      <w:szCs w:val="24"/>
    </w:rPr>
  </w:style>
  <w:style w:type="character" w:customStyle="1" w:styleId="67">
    <w:name w:val="标题 9 Char"/>
    <w:basedOn w:val="49"/>
    <w:link w:val="11"/>
    <w:qFormat/>
    <w:uiPriority w:val="0"/>
    <w:rPr>
      <w:rFonts w:ascii="Arial" w:hAnsi="Arial" w:eastAsia="黑体" w:cs="Times New Roman"/>
      <w:kern w:val="0"/>
      <w:szCs w:val="21"/>
    </w:rPr>
  </w:style>
  <w:style w:type="character" w:customStyle="1" w:styleId="68">
    <w:name w:val="正文文字缩进 Char"/>
    <w:basedOn w:val="49"/>
    <w:qFormat/>
    <w:uiPriority w:val="0"/>
    <w:rPr>
      <w:rFonts w:ascii="Times New Roman" w:hAnsi="Times New Roman" w:eastAsia="宋体" w:cs="Times New Roman"/>
      <w:kern w:val="0"/>
      <w:sz w:val="20"/>
      <w:szCs w:val="24"/>
    </w:rPr>
  </w:style>
  <w:style w:type="character" w:customStyle="1" w:styleId="69">
    <w:name w:val="标题 5（无编号）（绿盟科技） Char Char"/>
    <w:link w:val="70"/>
    <w:qFormat/>
    <w:uiPriority w:val="0"/>
    <w:rPr>
      <w:rFonts w:ascii="Arial" w:hAnsi="Arial" w:eastAsia="黑体"/>
      <w:b/>
      <w:sz w:val="24"/>
      <w:szCs w:val="28"/>
    </w:rPr>
  </w:style>
  <w:style w:type="paragraph" w:customStyle="1" w:styleId="70">
    <w:name w:val="标题 5（无编号）（绿盟科技）"/>
    <w:basedOn w:val="7"/>
    <w:link w:val="69"/>
    <w:qFormat/>
    <w:uiPriority w:val="0"/>
    <w:pPr>
      <w:widowControl w:val="0"/>
      <w:tabs>
        <w:tab w:val="left" w:pos="1232"/>
      </w:tabs>
      <w:spacing w:after="156" w:line="377" w:lineRule="auto"/>
      <w:ind w:left="0" w:firstLine="0"/>
    </w:pPr>
    <w:rPr>
      <w:rFonts w:ascii="Arial" w:hAnsi="Arial" w:eastAsia="黑体" w:cstheme="minorBidi"/>
      <w:bCs w:val="0"/>
      <w:kern w:val="2"/>
      <w:sz w:val="24"/>
    </w:rPr>
  </w:style>
  <w:style w:type="character" w:customStyle="1" w:styleId="71">
    <w:name w:val="批注框文本 Char"/>
    <w:basedOn w:val="49"/>
    <w:link w:val="30"/>
    <w:qFormat/>
    <w:uiPriority w:val="0"/>
    <w:rPr>
      <w:rFonts w:eastAsia="宋体"/>
      <w:sz w:val="18"/>
      <w:szCs w:val="18"/>
    </w:rPr>
  </w:style>
  <w:style w:type="character" w:customStyle="1" w:styleId="72">
    <w:name w:val="正文首行缩进 Char"/>
    <w:basedOn w:val="73"/>
    <w:link w:val="15"/>
    <w:qFormat/>
    <w:uiPriority w:val="0"/>
    <w:rPr>
      <w:sz w:val="24"/>
    </w:rPr>
  </w:style>
  <w:style w:type="character" w:customStyle="1" w:styleId="73">
    <w:name w:val="正文文本 Char"/>
    <w:basedOn w:val="49"/>
    <w:qFormat/>
    <w:uiPriority w:val="0"/>
    <w:rPr>
      <w:rFonts w:eastAsia="宋体"/>
      <w:sz w:val="21"/>
      <w:lang w:val="en-US" w:eastAsia="zh-CN" w:bidi="ar-SA"/>
    </w:rPr>
  </w:style>
  <w:style w:type="character" w:customStyle="1" w:styleId="74">
    <w:name w:val="页脚 Char"/>
    <w:basedOn w:val="49"/>
    <w:link w:val="31"/>
    <w:qFormat/>
    <w:uiPriority w:val="0"/>
    <w:rPr>
      <w:rFonts w:eastAsia="宋体"/>
      <w:sz w:val="18"/>
      <w:szCs w:val="18"/>
    </w:rPr>
  </w:style>
  <w:style w:type="character" w:customStyle="1" w:styleId="75">
    <w:name w:val="明显强调1"/>
    <w:basedOn w:val="49"/>
    <w:qFormat/>
    <w:uiPriority w:val="0"/>
    <w:rPr>
      <w:b/>
      <w:bCs/>
      <w:i/>
      <w:iCs/>
      <w:color w:val="4F81BD"/>
    </w:rPr>
  </w:style>
  <w:style w:type="character" w:customStyle="1" w:styleId="76">
    <w:name w:val="表格 Char Char"/>
    <w:link w:val="77"/>
    <w:qFormat/>
    <w:uiPriority w:val="0"/>
    <w:rPr>
      <w:rFonts w:ascii="宋体" w:hAnsi="宋体" w:eastAsia="宋体"/>
      <w:color w:val="000000"/>
      <w:sz w:val="24"/>
    </w:rPr>
  </w:style>
  <w:style w:type="paragraph" w:customStyle="1" w:styleId="77">
    <w:name w:val="表格"/>
    <w:basedOn w:val="1"/>
    <w:link w:val="76"/>
    <w:qFormat/>
    <w:uiPriority w:val="0"/>
    <w:pPr>
      <w:widowControl w:val="0"/>
      <w:autoSpaceDE w:val="0"/>
      <w:autoSpaceDN w:val="0"/>
      <w:adjustRightInd w:val="0"/>
      <w:jc w:val="center"/>
    </w:pPr>
    <w:rPr>
      <w:rFonts w:ascii="宋体" w:hAnsi="宋体" w:cstheme="minorBidi"/>
      <w:color w:val="000000"/>
      <w:kern w:val="2"/>
      <w:sz w:val="24"/>
      <w:szCs w:val="22"/>
    </w:rPr>
  </w:style>
  <w:style w:type="character" w:customStyle="1" w:styleId="78">
    <w:name w:val="正文文本缩进 2 Char"/>
    <w:basedOn w:val="49"/>
    <w:link w:val="28"/>
    <w:qFormat/>
    <w:uiPriority w:val="0"/>
    <w:rPr>
      <w:rFonts w:eastAsia="宋体"/>
    </w:rPr>
  </w:style>
  <w:style w:type="character" w:customStyle="1" w:styleId="79">
    <w:name w:val="表格名称 Char Char"/>
    <w:basedOn w:val="80"/>
    <w:link w:val="82"/>
    <w:qFormat/>
    <w:uiPriority w:val="0"/>
    <w:rPr>
      <w:rFonts w:ascii="宋体" w:hAnsi="宋体"/>
      <w:b/>
      <w:szCs w:val="21"/>
    </w:rPr>
  </w:style>
  <w:style w:type="character" w:customStyle="1" w:styleId="80">
    <w:name w:val="列出段落 Char"/>
    <w:basedOn w:val="49"/>
    <w:link w:val="81"/>
    <w:qFormat/>
    <w:uiPriority w:val="0"/>
    <w:rPr>
      <w:rFonts w:eastAsia="宋体"/>
      <w:sz w:val="24"/>
      <w:szCs w:val="24"/>
    </w:rPr>
  </w:style>
  <w:style w:type="paragraph" w:customStyle="1" w:styleId="81">
    <w:name w:val="列出段落1"/>
    <w:basedOn w:val="1"/>
    <w:link w:val="80"/>
    <w:qFormat/>
    <w:uiPriority w:val="0"/>
    <w:pPr>
      <w:widowControl w:val="0"/>
      <w:spacing w:line="360" w:lineRule="auto"/>
      <w:ind w:firstLine="420" w:firstLineChars="200"/>
      <w:jc w:val="both"/>
    </w:pPr>
    <w:rPr>
      <w:rFonts w:asciiTheme="minorHAnsi" w:hAnsiTheme="minorHAnsi" w:cstheme="minorBidi"/>
      <w:kern w:val="2"/>
      <w:sz w:val="24"/>
      <w:szCs w:val="24"/>
    </w:rPr>
  </w:style>
  <w:style w:type="paragraph" w:customStyle="1" w:styleId="82">
    <w:name w:val="表格名称"/>
    <w:basedOn w:val="81"/>
    <w:link w:val="79"/>
    <w:qFormat/>
    <w:uiPriority w:val="0"/>
    <w:pPr>
      <w:ind w:left="2940" w:firstLine="0" w:firstLineChars="0"/>
      <w:jc w:val="center"/>
    </w:pPr>
    <w:rPr>
      <w:rFonts w:ascii="宋体" w:hAnsi="宋体"/>
      <w:b/>
      <w:szCs w:val="21"/>
    </w:rPr>
  </w:style>
  <w:style w:type="character" w:customStyle="1" w:styleId="83">
    <w:name w:val="正文文本缩进 Char"/>
    <w:basedOn w:val="49"/>
    <w:link w:val="22"/>
    <w:qFormat/>
    <w:uiPriority w:val="0"/>
    <w:rPr>
      <w:rFonts w:ascii="宋体" w:eastAsia="宋体"/>
      <w:sz w:val="28"/>
    </w:rPr>
  </w:style>
  <w:style w:type="character" w:customStyle="1" w:styleId="84">
    <w:name w:val="Char Char1"/>
    <w:basedOn w:val="49"/>
    <w:qFormat/>
    <w:uiPriority w:val="0"/>
    <w:rPr>
      <w:rFonts w:ascii="Arial" w:hAnsi="Arial" w:eastAsia="宋体"/>
      <w:b/>
      <w:bCs/>
      <w:kern w:val="2"/>
      <w:sz w:val="28"/>
      <w:szCs w:val="28"/>
      <w:lang w:val="en-US" w:eastAsia="zh-CN" w:bidi="ar-SA"/>
    </w:rPr>
  </w:style>
  <w:style w:type="character" w:customStyle="1" w:styleId="85">
    <w:name w:val="样式21 Char Char"/>
    <w:link w:val="86"/>
    <w:qFormat/>
    <w:uiPriority w:val="0"/>
    <w:rPr>
      <w:rFonts w:ascii="Arial" w:hAnsi="Arial" w:eastAsia="宋体"/>
      <w:b/>
      <w:sz w:val="28"/>
      <w:szCs w:val="28"/>
    </w:rPr>
  </w:style>
  <w:style w:type="paragraph" w:customStyle="1" w:styleId="86">
    <w:name w:val="样式21"/>
    <w:basedOn w:val="4"/>
    <w:link w:val="85"/>
    <w:qFormat/>
    <w:uiPriority w:val="0"/>
    <w:pPr>
      <w:keepNext/>
      <w:keepLines/>
      <w:spacing w:before="260" w:after="260" w:line="416" w:lineRule="auto"/>
      <w:ind w:left="709" w:hanging="709"/>
    </w:pPr>
    <w:rPr>
      <w:rFonts w:ascii="Arial" w:hAnsi="Arial" w:cstheme="minorBidi"/>
      <w:sz w:val="28"/>
      <w:szCs w:val="28"/>
    </w:rPr>
  </w:style>
  <w:style w:type="character" w:customStyle="1" w:styleId="87">
    <w:name w:val="日期 Char"/>
    <w:basedOn w:val="49"/>
    <w:link w:val="27"/>
    <w:qFormat/>
    <w:uiPriority w:val="0"/>
    <w:rPr>
      <w:rFonts w:ascii="宋体" w:eastAsia="宋体"/>
      <w:sz w:val="28"/>
    </w:rPr>
  </w:style>
  <w:style w:type="character" w:customStyle="1" w:styleId="88">
    <w:name w:val="不明显强调1"/>
    <w:basedOn w:val="49"/>
    <w:qFormat/>
    <w:uiPriority w:val="0"/>
    <w:rPr>
      <w:i/>
      <w:iCs/>
      <w:color w:val="808080"/>
    </w:rPr>
  </w:style>
  <w:style w:type="character" w:customStyle="1" w:styleId="89">
    <w:name w:val="Char Char3"/>
    <w:basedOn w:val="49"/>
    <w:qFormat/>
    <w:uiPriority w:val="0"/>
    <w:rPr>
      <w:rFonts w:eastAsia="宋体"/>
      <w:kern w:val="2"/>
      <w:sz w:val="18"/>
      <w:szCs w:val="18"/>
      <w:lang w:val="en-US" w:eastAsia="zh-CN" w:bidi="ar-SA"/>
    </w:rPr>
  </w:style>
  <w:style w:type="character" w:customStyle="1" w:styleId="90">
    <w:name w:val="样式23 Char Char"/>
    <w:link w:val="91"/>
    <w:qFormat/>
    <w:uiPriority w:val="0"/>
    <w:rPr>
      <w:rFonts w:ascii="Arial" w:hAnsi="Arial" w:eastAsia="黑体"/>
      <w:b/>
      <w:sz w:val="24"/>
      <w:szCs w:val="30"/>
    </w:rPr>
  </w:style>
  <w:style w:type="paragraph" w:customStyle="1" w:styleId="91">
    <w:name w:val="样式23"/>
    <w:basedOn w:val="1"/>
    <w:link w:val="90"/>
    <w:qFormat/>
    <w:uiPriority w:val="0"/>
    <w:pPr>
      <w:keepNext/>
      <w:keepLines/>
      <w:widowControl w:val="0"/>
      <w:tabs>
        <w:tab w:val="left" w:pos="1232"/>
      </w:tabs>
      <w:spacing w:before="280" w:after="156" w:line="377" w:lineRule="auto"/>
      <w:outlineLvl w:val="3"/>
    </w:pPr>
    <w:rPr>
      <w:rFonts w:ascii="Arial" w:hAnsi="Arial" w:eastAsia="黑体" w:cstheme="minorBidi"/>
      <w:b/>
      <w:kern w:val="2"/>
      <w:sz w:val="24"/>
      <w:szCs w:val="30"/>
    </w:rPr>
  </w:style>
  <w:style w:type="character" w:customStyle="1" w:styleId="92">
    <w:name w:val="普通文字1 Char"/>
    <w:basedOn w:val="49"/>
    <w:link w:val="93"/>
    <w:qFormat/>
    <w:uiPriority w:val="0"/>
    <w:rPr>
      <w:rFonts w:ascii="宋体" w:hAnsi="Courier New" w:eastAsia="宋体"/>
    </w:rPr>
  </w:style>
  <w:style w:type="paragraph" w:customStyle="1" w:styleId="93">
    <w:name w:val="纯文本1"/>
    <w:basedOn w:val="1"/>
    <w:link w:val="92"/>
    <w:qFormat/>
    <w:uiPriority w:val="0"/>
    <w:pPr>
      <w:widowControl w:val="0"/>
      <w:jc w:val="both"/>
    </w:pPr>
    <w:rPr>
      <w:rFonts w:ascii="宋体" w:hAnsi="Courier New" w:cstheme="minorBidi"/>
      <w:kern w:val="2"/>
      <w:szCs w:val="22"/>
    </w:rPr>
  </w:style>
  <w:style w:type="character" w:customStyle="1" w:styleId="94">
    <w:name w:val="Font Style17"/>
    <w:basedOn w:val="49"/>
    <w:qFormat/>
    <w:uiPriority w:val="0"/>
    <w:rPr>
      <w:rFonts w:ascii="黑体" w:eastAsia="黑体" w:cs="黑体"/>
      <w:sz w:val="28"/>
      <w:szCs w:val="28"/>
    </w:rPr>
  </w:style>
  <w:style w:type="character" w:customStyle="1" w:styleId="95">
    <w:name w:val="样式 正文缩进 + 首行缩进:  2 字符 Char Char"/>
    <w:link w:val="96"/>
    <w:qFormat/>
    <w:uiPriority w:val="0"/>
    <w:rPr>
      <w:rFonts w:eastAsia="宋体"/>
      <w:sz w:val="24"/>
    </w:rPr>
  </w:style>
  <w:style w:type="paragraph" w:customStyle="1" w:styleId="96">
    <w:name w:val="样式 正文缩进 + 首行缩进:  2 字符"/>
    <w:basedOn w:val="5"/>
    <w:link w:val="95"/>
    <w:qFormat/>
    <w:uiPriority w:val="0"/>
    <w:pPr>
      <w:spacing w:afterLines="50" w:line="360" w:lineRule="auto"/>
      <w:ind w:firstLine="200"/>
      <w:jc w:val="left"/>
    </w:pPr>
    <w:rPr>
      <w:sz w:val="24"/>
      <w:szCs w:val="22"/>
    </w:rPr>
  </w:style>
  <w:style w:type="character" w:customStyle="1" w:styleId="97">
    <w:name w:val="页眉 Char"/>
    <w:basedOn w:val="49"/>
    <w:link w:val="33"/>
    <w:qFormat/>
    <w:uiPriority w:val="0"/>
    <w:rPr>
      <w:rFonts w:eastAsia="宋体"/>
      <w:sz w:val="18"/>
      <w:szCs w:val="18"/>
    </w:rPr>
  </w:style>
  <w:style w:type="character" w:customStyle="1" w:styleId="98">
    <w:name w:val="标题 Char"/>
    <w:basedOn w:val="49"/>
    <w:link w:val="48"/>
    <w:qFormat/>
    <w:uiPriority w:val="0"/>
    <w:rPr>
      <w:rFonts w:eastAsia="隶书_GB2312"/>
      <w:b/>
      <w:sz w:val="48"/>
    </w:rPr>
  </w:style>
  <w:style w:type="character" w:customStyle="1" w:styleId="99">
    <w:name w:val="批注主题 Char"/>
    <w:basedOn w:val="84"/>
    <w:link w:val="12"/>
    <w:qFormat/>
    <w:uiPriority w:val="0"/>
    <w:rPr>
      <w:rFonts w:ascii="宋体" w:hAnsi="宋体"/>
    </w:rPr>
  </w:style>
  <w:style w:type="character" w:customStyle="1" w:styleId="100">
    <w:name w:val="3级标题 Char Char"/>
    <w:link w:val="101"/>
    <w:qFormat/>
    <w:uiPriority w:val="0"/>
    <w:rPr>
      <w:rFonts w:ascii="Arial" w:hAnsi="Arial" w:eastAsia="黑体"/>
      <w:b/>
      <w:sz w:val="26"/>
      <w:szCs w:val="28"/>
    </w:rPr>
  </w:style>
  <w:style w:type="paragraph" w:customStyle="1" w:styleId="101">
    <w:name w:val="3级标题"/>
    <w:basedOn w:val="1"/>
    <w:link w:val="100"/>
    <w:qFormat/>
    <w:uiPriority w:val="0"/>
    <w:pPr>
      <w:keepNext/>
      <w:keepLines/>
      <w:widowControl w:val="0"/>
      <w:tabs>
        <w:tab w:val="left" w:pos="1232"/>
      </w:tabs>
      <w:spacing w:before="280" w:after="156" w:line="377" w:lineRule="auto"/>
      <w:outlineLvl w:val="2"/>
    </w:pPr>
    <w:rPr>
      <w:rFonts w:ascii="Arial" w:hAnsi="Arial" w:eastAsia="黑体" w:cstheme="minorBidi"/>
      <w:b/>
      <w:kern w:val="2"/>
      <w:sz w:val="26"/>
      <w:szCs w:val="28"/>
    </w:rPr>
  </w:style>
  <w:style w:type="character" w:customStyle="1" w:styleId="102">
    <w:name w:val="尾注文本 Char"/>
    <w:basedOn w:val="49"/>
    <w:link w:val="29"/>
    <w:qFormat/>
    <w:uiPriority w:val="0"/>
    <w:rPr>
      <w:rFonts w:ascii="宋体" w:eastAsia="宋体"/>
      <w:sz w:val="24"/>
    </w:rPr>
  </w:style>
  <w:style w:type="character" w:customStyle="1" w:styleId="103">
    <w:name w:val="脚注文本 Char"/>
    <w:basedOn w:val="49"/>
    <w:link w:val="39"/>
    <w:qFormat/>
    <w:uiPriority w:val="0"/>
    <w:rPr>
      <w:rFonts w:eastAsia="宋体"/>
      <w:sz w:val="18"/>
      <w:szCs w:val="18"/>
    </w:rPr>
  </w:style>
  <w:style w:type="character" w:customStyle="1" w:styleId="104">
    <w:name w:val="H6 Char Char"/>
    <w:basedOn w:val="49"/>
    <w:qFormat/>
    <w:uiPriority w:val="0"/>
    <w:rPr>
      <w:rFonts w:ascii="Arial" w:hAnsi="Arial" w:eastAsia="黑体" w:cs="Times New Roman"/>
      <w:b/>
      <w:kern w:val="0"/>
      <w:sz w:val="24"/>
      <w:szCs w:val="20"/>
    </w:rPr>
  </w:style>
  <w:style w:type="character" w:customStyle="1" w:styleId="105">
    <w:name w:val="正文（绿盟科技） Char Char"/>
    <w:link w:val="106"/>
    <w:qFormat/>
    <w:uiPriority w:val="0"/>
    <w:rPr>
      <w:rFonts w:eastAsia="Times New Roman"/>
      <w:szCs w:val="21"/>
    </w:rPr>
  </w:style>
  <w:style w:type="paragraph" w:customStyle="1" w:styleId="106">
    <w:name w:val="正文（绿盟科技）"/>
    <w:link w:val="105"/>
    <w:qFormat/>
    <w:uiPriority w:val="0"/>
    <w:pPr>
      <w:spacing w:line="300" w:lineRule="auto"/>
    </w:pPr>
    <w:rPr>
      <w:rFonts w:eastAsia="Times New Roman" w:asciiTheme="minorHAnsi" w:hAnsiTheme="minorHAnsi" w:cstheme="minorBidi"/>
      <w:kern w:val="2"/>
      <w:sz w:val="21"/>
      <w:szCs w:val="21"/>
      <w:lang w:val="en-US" w:eastAsia="zh-CN" w:bidi="ar-SA"/>
    </w:rPr>
  </w:style>
  <w:style w:type="character" w:customStyle="1" w:styleId="107">
    <w:name w:val="纯文本 Char"/>
    <w:basedOn w:val="49"/>
    <w:link w:val="25"/>
    <w:qFormat/>
    <w:uiPriority w:val="0"/>
    <w:rPr>
      <w:rFonts w:ascii="宋体" w:hAnsi="Courier New" w:eastAsia="宋体"/>
    </w:rPr>
  </w:style>
  <w:style w:type="character" w:customStyle="1" w:styleId="108">
    <w:name w:val="Body Char Char"/>
    <w:link w:val="109"/>
    <w:qFormat/>
    <w:uiPriority w:val="0"/>
    <w:rPr>
      <w:rFonts w:ascii="Arial" w:hAnsi="Arial" w:eastAsia="宋体"/>
      <w:color w:val="000000"/>
      <w:szCs w:val="24"/>
    </w:rPr>
  </w:style>
  <w:style w:type="paragraph" w:customStyle="1" w:styleId="109">
    <w:name w:val="Body"/>
    <w:basedOn w:val="1"/>
    <w:link w:val="108"/>
    <w:qFormat/>
    <w:uiPriority w:val="0"/>
    <w:pPr>
      <w:tabs>
        <w:tab w:val="left" w:pos="9255"/>
      </w:tabs>
      <w:spacing w:line="360" w:lineRule="auto"/>
      <w:ind w:firstLine="315" w:firstLineChars="150"/>
      <w:jc w:val="center"/>
    </w:pPr>
    <w:rPr>
      <w:rFonts w:ascii="Arial" w:hAnsi="Arial" w:cstheme="minorBidi"/>
      <w:color w:val="000000"/>
      <w:kern w:val="2"/>
      <w:szCs w:val="24"/>
    </w:rPr>
  </w:style>
  <w:style w:type="character" w:customStyle="1" w:styleId="110">
    <w:name w:val="H5 Char Char"/>
    <w:basedOn w:val="49"/>
    <w:qFormat/>
    <w:uiPriority w:val="0"/>
    <w:rPr>
      <w:rFonts w:ascii="Calibri" w:hAnsi="Calibri" w:eastAsia="宋体" w:cs="Times New Roman"/>
      <w:b/>
      <w:bCs/>
      <w:sz w:val="28"/>
      <w:szCs w:val="28"/>
    </w:rPr>
  </w:style>
  <w:style w:type="character" w:customStyle="1" w:styleId="111">
    <w:name w:val="my正文 Char Char"/>
    <w:basedOn w:val="49"/>
    <w:link w:val="112"/>
    <w:qFormat/>
    <w:uiPriority w:val="0"/>
    <w:rPr>
      <w:rFonts w:ascii="宋体" w:hAnsi="宋体" w:eastAsia="宋体" w:cs="宋体"/>
      <w:sz w:val="24"/>
      <w:szCs w:val="24"/>
    </w:rPr>
  </w:style>
  <w:style w:type="paragraph" w:customStyle="1" w:styleId="112">
    <w:name w:val="my正文"/>
    <w:basedOn w:val="22"/>
    <w:link w:val="111"/>
    <w:qFormat/>
    <w:uiPriority w:val="0"/>
    <w:pPr>
      <w:spacing w:beforeLines="50"/>
      <w:ind w:left="0" w:firstLine="540" w:firstLineChars="225"/>
    </w:pPr>
    <w:rPr>
      <w:rFonts w:hAnsi="宋体" w:cs="宋体"/>
      <w:sz w:val="24"/>
      <w:szCs w:val="24"/>
    </w:rPr>
  </w:style>
  <w:style w:type="character" w:customStyle="1" w:styleId="113">
    <w:name w:val="arr1"/>
    <w:basedOn w:val="49"/>
    <w:qFormat/>
    <w:uiPriority w:val="0"/>
  </w:style>
  <w:style w:type="character" w:customStyle="1" w:styleId="114">
    <w:name w:val="Item List Char Char"/>
    <w:link w:val="115"/>
    <w:qFormat/>
    <w:uiPriority w:val="0"/>
    <w:rPr>
      <w:rFonts w:eastAsia="宋体"/>
      <w:szCs w:val="24"/>
    </w:rPr>
  </w:style>
  <w:style w:type="paragraph" w:customStyle="1" w:styleId="115">
    <w:name w:val="Item List"/>
    <w:basedOn w:val="1"/>
    <w:link w:val="114"/>
    <w:qFormat/>
    <w:uiPriority w:val="0"/>
    <w:pPr>
      <w:widowControl w:val="0"/>
      <w:tabs>
        <w:tab w:val="left" w:pos="420"/>
        <w:tab w:val="left" w:pos="720"/>
      </w:tabs>
      <w:snapToGrid w:val="0"/>
      <w:spacing w:afterLines="50"/>
      <w:ind w:left="720" w:hanging="360"/>
    </w:pPr>
    <w:rPr>
      <w:rFonts w:asciiTheme="minorHAnsi" w:hAnsiTheme="minorHAnsi" w:cstheme="minorBidi"/>
      <w:kern w:val="2"/>
      <w:szCs w:val="24"/>
    </w:rPr>
  </w:style>
  <w:style w:type="character" w:customStyle="1" w:styleId="116">
    <w:name w:val="表正文 Char2"/>
    <w:basedOn w:val="49"/>
    <w:qFormat/>
    <w:uiPriority w:val="0"/>
    <w:rPr>
      <w:rFonts w:eastAsia="宋体"/>
      <w:kern w:val="2"/>
      <w:sz w:val="21"/>
      <w:szCs w:val="24"/>
      <w:lang w:val="en-US" w:eastAsia="zh-CN" w:bidi="ar-SA"/>
    </w:rPr>
  </w:style>
  <w:style w:type="character" w:customStyle="1" w:styleId="117">
    <w:name w:val="样式4 Char Char Char"/>
    <w:basedOn w:val="49"/>
    <w:link w:val="118"/>
    <w:qFormat/>
    <w:uiPriority w:val="0"/>
    <w:rPr>
      <w:rFonts w:eastAsia="宋体" w:cs="宋体"/>
      <w:color w:val="000000"/>
      <w:sz w:val="24"/>
      <w:szCs w:val="24"/>
    </w:rPr>
  </w:style>
  <w:style w:type="paragraph" w:customStyle="1" w:styleId="118">
    <w:name w:val="样式4 Char"/>
    <w:basedOn w:val="1"/>
    <w:link w:val="117"/>
    <w:qFormat/>
    <w:uiPriority w:val="0"/>
    <w:pPr>
      <w:spacing w:beforeLines="50" w:afterLines="50" w:line="360" w:lineRule="auto"/>
      <w:ind w:firstLine="480" w:firstLineChars="200"/>
    </w:pPr>
    <w:rPr>
      <w:rFonts w:cs="宋体" w:asciiTheme="minorHAnsi" w:hAnsiTheme="minorHAnsi"/>
      <w:color w:val="000000"/>
      <w:kern w:val="2"/>
      <w:sz w:val="24"/>
      <w:szCs w:val="24"/>
    </w:rPr>
  </w:style>
  <w:style w:type="character" w:customStyle="1" w:styleId="119">
    <w:name w:val="正文缩进 Char"/>
    <w:basedOn w:val="49"/>
    <w:link w:val="5"/>
    <w:qFormat/>
    <w:uiPriority w:val="0"/>
    <w:rPr>
      <w:rFonts w:eastAsia="宋体"/>
      <w:szCs w:val="24"/>
    </w:rPr>
  </w:style>
  <w:style w:type="character" w:customStyle="1" w:styleId="120">
    <w:name w:val="图形名称 Char Char"/>
    <w:basedOn w:val="79"/>
    <w:link w:val="121"/>
    <w:qFormat/>
    <w:uiPriority w:val="0"/>
  </w:style>
  <w:style w:type="paragraph" w:customStyle="1" w:styleId="121">
    <w:name w:val="图形名称"/>
    <w:basedOn w:val="82"/>
    <w:link w:val="120"/>
    <w:qFormat/>
    <w:uiPriority w:val="0"/>
    <w:pPr>
      <w:ind w:left="420" w:hanging="420"/>
    </w:pPr>
    <w:rPr>
      <w:sz w:val="21"/>
    </w:rPr>
  </w:style>
  <w:style w:type="character" w:customStyle="1" w:styleId="122">
    <w:name w:val="标题 21"/>
    <w:basedOn w:val="49"/>
    <w:qFormat/>
    <w:uiPriority w:val="0"/>
    <w:rPr>
      <w:rFonts w:ascii="宋体" w:hAnsi="宋体" w:eastAsia="宋体"/>
      <w:b/>
      <w:kern w:val="2"/>
      <w:sz w:val="36"/>
      <w:szCs w:val="24"/>
      <w:lang w:val="en-US" w:eastAsia="zh-CN" w:bidi="ar-SA"/>
    </w:rPr>
  </w:style>
  <w:style w:type="character" w:customStyle="1" w:styleId="123">
    <w:name w:val="正文文本 3 Char"/>
    <w:basedOn w:val="49"/>
    <w:link w:val="21"/>
    <w:qFormat/>
    <w:uiPriority w:val="0"/>
    <w:rPr>
      <w:rFonts w:eastAsia="宋体"/>
      <w:sz w:val="16"/>
      <w:szCs w:val="16"/>
    </w:rPr>
  </w:style>
  <w:style w:type="character" w:customStyle="1" w:styleId="124">
    <w:name w:val="注意框体 Char Char"/>
    <w:basedOn w:val="49"/>
    <w:qFormat/>
    <w:uiPriority w:val="0"/>
    <w:rPr>
      <w:rFonts w:ascii="Arial" w:hAnsi="Arial" w:eastAsia="黑体" w:cs="Times New Roman"/>
      <w:kern w:val="0"/>
      <w:sz w:val="24"/>
      <w:szCs w:val="20"/>
    </w:rPr>
  </w:style>
  <w:style w:type="character" w:customStyle="1" w:styleId="125">
    <w:name w:val="常规 Char Char"/>
    <w:link w:val="126"/>
    <w:qFormat/>
    <w:uiPriority w:val="0"/>
    <w:rPr>
      <w:rFonts w:eastAsia="宋体"/>
      <w:szCs w:val="21"/>
    </w:rPr>
  </w:style>
  <w:style w:type="paragraph" w:customStyle="1" w:styleId="126">
    <w:name w:val="常规"/>
    <w:basedOn w:val="1"/>
    <w:link w:val="125"/>
    <w:qFormat/>
    <w:uiPriority w:val="0"/>
    <w:pPr>
      <w:widowControl w:val="0"/>
      <w:spacing w:beforeLines="100" w:afterLines="100"/>
      <w:ind w:left="1134"/>
      <w:jc w:val="both"/>
    </w:pPr>
    <w:rPr>
      <w:rFonts w:asciiTheme="minorHAnsi" w:hAnsiTheme="minorHAnsi" w:cstheme="minorBidi"/>
      <w:kern w:val="2"/>
      <w:szCs w:val="21"/>
    </w:rPr>
  </w:style>
  <w:style w:type="character" w:customStyle="1" w:styleId="127">
    <w:name w:val="文档结构图 Char"/>
    <w:basedOn w:val="49"/>
    <w:link w:val="19"/>
    <w:qFormat/>
    <w:uiPriority w:val="0"/>
    <w:rPr>
      <w:rFonts w:eastAsia="宋体"/>
      <w:shd w:val="clear" w:color="auto" w:fill="000080"/>
    </w:rPr>
  </w:style>
  <w:style w:type="character" w:customStyle="1" w:styleId="128">
    <w:name w:val="正文文本缩进 3 Char"/>
    <w:basedOn w:val="49"/>
    <w:link w:val="41"/>
    <w:qFormat/>
    <w:uiPriority w:val="0"/>
    <w:rPr>
      <w:rFonts w:eastAsia="宋体"/>
      <w:sz w:val="16"/>
      <w:szCs w:val="16"/>
    </w:rPr>
  </w:style>
  <w:style w:type="character" w:customStyle="1" w:styleId="129">
    <w:name w:val="Figure Char Char"/>
    <w:link w:val="130"/>
    <w:qFormat/>
    <w:uiPriority w:val="0"/>
    <w:rPr>
      <w:rFonts w:ascii="Calibri" w:hAnsi="Calibri" w:eastAsia="宋体"/>
      <w:sz w:val="24"/>
      <w:szCs w:val="24"/>
      <w:lang w:eastAsia="en-US" w:bidi="en-US"/>
    </w:rPr>
  </w:style>
  <w:style w:type="paragraph" w:customStyle="1" w:styleId="130">
    <w:name w:val="Figure"/>
    <w:basedOn w:val="1"/>
    <w:next w:val="131"/>
    <w:link w:val="129"/>
    <w:qFormat/>
    <w:uiPriority w:val="0"/>
    <w:pPr>
      <w:keepNext/>
      <w:keepLines/>
      <w:jc w:val="center"/>
    </w:pPr>
    <w:rPr>
      <w:rFonts w:ascii="Calibri" w:hAnsi="Calibri" w:cstheme="minorBidi"/>
      <w:kern w:val="2"/>
      <w:sz w:val="24"/>
      <w:szCs w:val="24"/>
      <w:lang w:eastAsia="en-US" w:bidi="en-US"/>
    </w:rPr>
  </w:style>
  <w:style w:type="paragraph" w:customStyle="1" w:styleId="131">
    <w:name w:val="Figure Description"/>
    <w:basedOn w:val="130"/>
    <w:next w:val="1"/>
    <w:link w:val="132"/>
    <w:qFormat/>
    <w:uiPriority w:val="0"/>
    <w:pPr>
      <w:tabs>
        <w:tab w:val="left" w:pos="0"/>
      </w:tabs>
      <w:ind w:left="1554" w:hanging="420"/>
    </w:pPr>
    <w:rPr>
      <w:sz w:val="18"/>
    </w:rPr>
  </w:style>
  <w:style w:type="character" w:customStyle="1" w:styleId="132">
    <w:name w:val="Figure Description Char Char"/>
    <w:link w:val="131"/>
    <w:qFormat/>
    <w:uiPriority w:val="0"/>
    <w:rPr>
      <w:rFonts w:ascii="Calibri" w:hAnsi="Calibri" w:eastAsia="宋体"/>
      <w:sz w:val="18"/>
      <w:szCs w:val="24"/>
      <w:lang w:eastAsia="en-US" w:bidi="en-US"/>
    </w:rPr>
  </w:style>
  <w:style w:type="character" w:customStyle="1" w:styleId="133">
    <w:name w:val="样式20 Char Char"/>
    <w:link w:val="134"/>
    <w:qFormat/>
    <w:uiPriority w:val="0"/>
    <w:rPr>
      <w:rFonts w:ascii="Arial" w:hAnsi="Arial" w:eastAsia="宋体"/>
      <w:b/>
      <w:bCs/>
      <w:sz w:val="30"/>
      <w:szCs w:val="30"/>
    </w:rPr>
  </w:style>
  <w:style w:type="paragraph" w:customStyle="1" w:styleId="134">
    <w:name w:val="样式20"/>
    <w:basedOn w:val="3"/>
    <w:link w:val="133"/>
    <w:qFormat/>
    <w:uiPriority w:val="0"/>
    <w:pPr>
      <w:widowControl w:val="0"/>
      <w:spacing w:line="416" w:lineRule="auto"/>
      <w:ind w:left="567" w:hanging="567"/>
      <w:jc w:val="both"/>
    </w:pPr>
    <w:rPr>
      <w:rFonts w:eastAsia="宋体" w:cstheme="minorBidi"/>
      <w:kern w:val="2"/>
      <w:sz w:val="30"/>
      <w:szCs w:val="30"/>
    </w:rPr>
  </w:style>
  <w:style w:type="character" w:customStyle="1" w:styleId="135">
    <w:name w:val="16"/>
    <w:basedOn w:val="49"/>
    <w:qFormat/>
    <w:uiPriority w:val="0"/>
  </w:style>
  <w:style w:type="character" w:customStyle="1" w:styleId="136">
    <w:name w:val="正文文本 2 Char"/>
    <w:basedOn w:val="49"/>
    <w:link w:val="45"/>
    <w:qFormat/>
    <w:uiPriority w:val="0"/>
    <w:rPr>
      <w:rFonts w:eastAsia="仿宋_GB2312"/>
      <w:b/>
      <w:bCs/>
      <w:sz w:val="24"/>
    </w:rPr>
  </w:style>
  <w:style w:type="character" w:customStyle="1" w:styleId="137">
    <w:name w:val="批注文字 Char"/>
    <w:basedOn w:val="49"/>
    <w:qFormat/>
    <w:uiPriority w:val="0"/>
    <w:rPr>
      <w:rFonts w:eastAsia="宋体"/>
      <w:szCs w:val="24"/>
      <w:lang w:bidi="ar-SA"/>
    </w:rPr>
  </w:style>
  <w:style w:type="character" w:customStyle="1" w:styleId="138">
    <w:name w:val="￥正文 Char Char"/>
    <w:link w:val="139"/>
    <w:qFormat/>
    <w:uiPriority w:val="0"/>
    <w:rPr>
      <w:rFonts w:ascii="Calibri" w:hAnsi="Calibri" w:eastAsia="宋体"/>
      <w:sz w:val="24"/>
    </w:rPr>
  </w:style>
  <w:style w:type="paragraph" w:customStyle="1" w:styleId="139">
    <w:name w:val="￥正文"/>
    <w:basedOn w:val="1"/>
    <w:link w:val="138"/>
    <w:qFormat/>
    <w:uiPriority w:val="0"/>
    <w:pPr>
      <w:widowControl w:val="0"/>
      <w:spacing w:line="360" w:lineRule="auto"/>
      <w:ind w:firstLine="200" w:firstLineChars="200"/>
      <w:jc w:val="both"/>
    </w:pPr>
    <w:rPr>
      <w:rFonts w:ascii="Calibri" w:hAnsi="Calibri" w:cstheme="minorBidi"/>
      <w:kern w:val="2"/>
      <w:sz w:val="24"/>
      <w:szCs w:val="22"/>
    </w:rPr>
  </w:style>
  <w:style w:type="character" w:customStyle="1" w:styleId="140">
    <w:name w:val="日期 Char1"/>
    <w:basedOn w:val="49"/>
    <w:link w:val="27"/>
    <w:semiHidden/>
    <w:qFormat/>
    <w:uiPriority w:val="99"/>
    <w:rPr>
      <w:rFonts w:ascii="Times New Roman" w:hAnsi="Times New Roman" w:eastAsia="宋体" w:cs="Times New Roman"/>
      <w:kern w:val="0"/>
      <w:szCs w:val="20"/>
    </w:rPr>
  </w:style>
  <w:style w:type="character" w:customStyle="1" w:styleId="141">
    <w:name w:val="文档结构图 Char1"/>
    <w:basedOn w:val="49"/>
    <w:link w:val="19"/>
    <w:semiHidden/>
    <w:qFormat/>
    <w:uiPriority w:val="99"/>
    <w:rPr>
      <w:rFonts w:ascii="宋体" w:hAnsi="Times New Roman" w:eastAsia="宋体" w:cs="Times New Roman"/>
      <w:kern w:val="0"/>
      <w:sz w:val="18"/>
      <w:szCs w:val="18"/>
    </w:rPr>
  </w:style>
  <w:style w:type="paragraph" w:customStyle="1" w:styleId="142">
    <w:name w:val="Char Char2 Char"/>
    <w:basedOn w:val="1"/>
    <w:qFormat/>
    <w:uiPriority w:val="0"/>
    <w:pPr>
      <w:widowControl w:val="0"/>
      <w:jc w:val="both"/>
    </w:pPr>
    <w:rPr>
      <w:rFonts w:ascii="宋体" w:hAnsi="宋体"/>
      <w:b/>
      <w:kern w:val="2"/>
      <w:sz w:val="28"/>
      <w:szCs w:val="28"/>
    </w:rPr>
  </w:style>
  <w:style w:type="paragraph" w:customStyle="1" w:styleId="143">
    <w:name w:val="Char1 Char Char Char"/>
    <w:basedOn w:val="1"/>
    <w:qFormat/>
    <w:uiPriority w:val="0"/>
    <w:pPr>
      <w:widowControl w:val="0"/>
      <w:jc w:val="both"/>
    </w:pPr>
    <w:rPr>
      <w:rFonts w:ascii="Tahoma" w:hAnsi="Tahoma"/>
      <w:kern w:val="2"/>
      <w:sz w:val="24"/>
    </w:rPr>
  </w:style>
  <w:style w:type="character" w:customStyle="1" w:styleId="144">
    <w:name w:val="批注文字 Char1"/>
    <w:basedOn w:val="49"/>
    <w:link w:val="13"/>
    <w:semiHidden/>
    <w:qFormat/>
    <w:uiPriority w:val="99"/>
    <w:rPr>
      <w:rFonts w:ascii="Times New Roman" w:hAnsi="Times New Roman" w:eastAsia="宋体" w:cs="Times New Roman"/>
      <w:kern w:val="0"/>
      <w:szCs w:val="20"/>
    </w:rPr>
  </w:style>
  <w:style w:type="character" w:customStyle="1" w:styleId="145">
    <w:name w:val="批注主题 Char1"/>
    <w:basedOn w:val="144"/>
    <w:link w:val="12"/>
    <w:semiHidden/>
    <w:qFormat/>
    <w:uiPriority w:val="99"/>
    <w:rPr>
      <w:b/>
      <w:bCs/>
    </w:rPr>
  </w:style>
  <w:style w:type="character" w:customStyle="1" w:styleId="146">
    <w:name w:val="正文文本缩进 2 Char1"/>
    <w:basedOn w:val="49"/>
    <w:link w:val="28"/>
    <w:semiHidden/>
    <w:qFormat/>
    <w:uiPriority w:val="99"/>
    <w:rPr>
      <w:rFonts w:ascii="Times New Roman" w:hAnsi="Times New Roman" w:eastAsia="宋体" w:cs="Times New Roman"/>
      <w:kern w:val="0"/>
      <w:szCs w:val="20"/>
    </w:rPr>
  </w:style>
  <w:style w:type="character" w:customStyle="1" w:styleId="147">
    <w:name w:val="纯文本 Char1"/>
    <w:basedOn w:val="49"/>
    <w:link w:val="25"/>
    <w:semiHidden/>
    <w:qFormat/>
    <w:uiPriority w:val="99"/>
    <w:rPr>
      <w:rFonts w:ascii="宋体" w:hAnsi="Courier New" w:eastAsia="宋体" w:cs="Courier New"/>
      <w:kern w:val="0"/>
      <w:szCs w:val="21"/>
    </w:rPr>
  </w:style>
  <w:style w:type="character" w:customStyle="1" w:styleId="148">
    <w:name w:val="正文文本 Char1"/>
    <w:basedOn w:val="49"/>
    <w:link w:val="16"/>
    <w:semiHidden/>
    <w:qFormat/>
    <w:uiPriority w:val="99"/>
    <w:rPr>
      <w:rFonts w:ascii="Times New Roman" w:hAnsi="Times New Roman" w:eastAsia="宋体" w:cs="Times New Roman"/>
      <w:kern w:val="0"/>
      <w:szCs w:val="20"/>
    </w:rPr>
  </w:style>
  <w:style w:type="character" w:customStyle="1" w:styleId="149">
    <w:name w:val="正文首行缩进 Char1"/>
    <w:basedOn w:val="148"/>
    <w:link w:val="15"/>
    <w:semiHidden/>
    <w:qFormat/>
    <w:uiPriority w:val="99"/>
  </w:style>
  <w:style w:type="paragraph" w:customStyle="1" w:styleId="150">
    <w:name w:val="封面2"/>
    <w:basedOn w:val="34"/>
    <w:qFormat/>
    <w:uiPriority w:val="0"/>
    <w:pPr>
      <w:widowControl w:val="0"/>
      <w:tabs>
        <w:tab w:val="left" w:pos="840"/>
        <w:tab w:val="right" w:leader="dot" w:pos="8296"/>
        <w:tab w:val="clear" w:pos="3420"/>
      </w:tabs>
      <w:spacing w:before="120" w:after="120" w:line="360" w:lineRule="auto"/>
      <w:ind w:firstLine="425"/>
    </w:pPr>
    <w:rPr>
      <w:rFonts w:ascii="Times New Roman" w:eastAsia="黑体"/>
      <w:b w:val="0"/>
      <w:bCs w:val="0"/>
      <w:caps/>
      <w:kern w:val="2"/>
      <w:sz w:val="52"/>
    </w:rPr>
  </w:style>
  <w:style w:type="character" w:customStyle="1" w:styleId="151">
    <w:name w:val="正文文本缩进 Char1"/>
    <w:basedOn w:val="49"/>
    <w:link w:val="22"/>
    <w:semiHidden/>
    <w:qFormat/>
    <w:uiPriority w:val="99"/>
    <w:rPr>
      <w:rFonts w:ascii="Times New Roman" w:hAnsi="Times New Roman" w:eastAsia="宋体" w:cs="Times New Roman"/>
      <w:kern w:val="0"/>
      <w:szCs w:val="20"/>
    </w:rPr>
  </w:style>
  <w:style w:type="character" w:customStyle="1" w:styleId="152">
    <w:name w:val="正文文本 3 Char1"/>
    <w:basedOn w:val="49"/>
    <w:link w:val="21"/>
    <w:semiHidden/>
    <w:qFormat/>
    <w:uiPriority w:val="99"/>
    <w:rPr>
      <w:rFonts w:ascii="Times New Roman" w:hAnsi="Times New Roman" w:eastAsia="宋体" w:cs="Times New Roman"/>
      <w:kern w:val="0"/>
      <w:sz w:val="16"/>
      <w:szCs w:val="16"/>
    </w:rPr>
  </w:style>
  <w:style w:type="character" w:customStyle="1" w:styleId="153">
    <w:name w:val="尾注文本 Char1"/>
    <w:basedOn w:val="49"/>
    <w:link w:val="29"/>
    <w:semiHidden/>
    <w:qFormat/>
    <w:uiPriority w:val="99"/>
    <w:rPr>
      <w:rFonts w:ascii="Times New Roman" w:hAnsi="Times New Roman" w:eastAsia="宋体" w:cs="Times New Roman"/>
      <w:kern w:val="0"/>
      <w:szCs w:val="20"/>
    </w:rPr>
  </w:style>
  <w:style w:type="paragraph" w:customStyle="1" w:styleId="154">
    <w:name w:val="样式1"/>
    <w:basedOn w:val="34"/>
    <w:qFormat/>
    <w:uiPriority w:val="0"/>
    <w:pPr>
      <w:widowControl w:val="0"/>
      <w:tabs>
        <w:tab w:val="right" w:leader="dot" w:pos="8642"/>
        <w:tab w:val="clear" w:pos="3420"/>
      </w:tabs>
      <w:spacing w:line="360" w:lineRule="auto"/>
      <w:jc w:val="both"/>
    </w:pPr>
    <w:rPr>
      <w:rFonts w:hAnsi="宋体"/>
      <w:b w:val="0"/>
      <w:bCs w:val="0"/>
      <w:kern w:val="2"/>
      <w:sz w:val="28"/>
      <w:szCs w:val="21"/>
    </w:rPr>
  </w:style>
  <w:style w:type="character" w:customStyle="1" w:styleId="155">
    <w:name w:val="页眉 Char1"/>
    <w:basedOn w:val="49"/>
    <w:link w:val="33"/>
    <w:semiHidden/>
    <w:qFormat/>
    <w:uiPriority w:val="99"/>
    <w:rPr>
      <w:rFonts w:ascii="Times New Roman" w:hAnsi="Times New Roman" w:eastAsia="宋体" w:cs="Times New Roman"/>
      <w:kern w:val="0"/>
      <w:sz w:val="18"/>
      <w:szCs w:val="18"/>
    </w:rPr>
  </w:style>
  <w:style w:type="paragraph" w:customStyle="1" w:styleId="156">
    <w:name w:val="样式 样式 首行缩进:  2 字符 + 首行缩进:  2 字符"/>
    <w:basedOn w:val="1"/>
    <w:qFormat/>
    <w:uiPriority w:val="0"/>
    <w:pPr>
      <w:widowControl w:val="0"/>
      <w:spacing w:beforeLines="50" w:line="360" w:lineRule="auto"/>
      <w:ind w:firstLine="560" w:firstLineChars="200"/>
      <w:jc w:val="both"/>
    </w:pPr>
    <w:rPr>
      <w:rFonts w:eastAsia="仿宋_GB2312" w:cs="宋体"/>
      <w:kern w:val="2"/>
      <w:sz w:val="28"/>
    </w:rPr>
  </w:style>
  <w:style w:type="character" w:customStyle="1" w:styleId="157">
    <w:name w:val="批注框文本 Char1"/>
    <w:basedOn w:val="49"/>
    <w:link w:val="30"/>
    <w:semiHidden/>
    <w:qFormat/>
    <w:uiPriority w:val="99"/>
    <w:rPr>
      <w:rFonts w:ascii="Times New Roman" w:hAnsi="Times New Roman" w:eastAsia="宋体" w:cs="Times New Roman"/>
      <w:kern w:val="0"/>
      <w:sz w:val="18"/>
      <w:szCs w:val="18"/>
    </w:rPr>
  </w:style>
  <w:style w:type="character" w:customStyle="1" w:styleId="158">
    <w:name w:val="页脚 Char1"/>
    <w:basedOn w:val="49"/>
    <w:link w:val="31"/>
    <w:semiHidden/>
    <w:qFormat/>
    <w:uiPriority w:val="99"/>
    <w:rPr>
      <w:rFonts w:ascii="Times New Roman" w:hAnsi="Times New Roman" w:eastAsia="宋体" w:cs="Times New Roman"/>
      <w:kern w:val="0"/>
      <w:sz w:val="18"/>
      <w:szCs w:val="18"/>
    </w:rPr>
  </w:style>
  <w:style w:type="character" w:customStyle="1" w:styleId="159">
    <w:name w:val="正文首行缩进 2 Char"/>
    <w:basedOn w:val="151"/>
    <w:link w:val="32"/>
    <w:qFormat/>
    <w:uiPriority w:val="0"/>
    <w:rPr>
      <w:rFonts w:ascii="Tahoma" w:hAnsi="Tahoma"/>
      <w:sz w:val="28"/>
      <w:szCs w:val="24"/>
    </w:rPr>
  </w:style>
  <w:style w:type="character" w:customStyle="1" w:styleId="160">
    <w:name w:val="脚注文本 Char1"/>
    <w:basedOn w:val="49"/>
    <w:link w:val="39"/>
    <w:semiHidden/>
    <w:qFormat/>
    <w:uiPriority w:val="99"/>
    <w:rPr>
      <w:rFonts w:ascii="Times New Roman" w:hAnsi="Times New Roman" w:eastAsia="宋体" w:cs="Times New Roman"/>
      <w:kern w:val="0"/>
      <w:sz w:val="18"/>
      <w:szCs w:val="18"/>
    </w:rPr>
  </w:style>
  <w:style w:type="character" w:customStyle="1" w:styleId="161">
    <w:name w:val="正文文本 2 Char1"/>
    <w:basedOn w:val="49"/>
    <w:link w:val="45"/>
    <w:semiHidden/>
    <w:qFormat/>
    <w:uiPriority w:val="99"/>
    <w:rPr>
      <w:rFonts w:ascii="Times New Roman" w:hAnsi="Times New Roman" w:eastAsia="宋体" w:cs="Times New Roman"/>
      <w:kern w:val="0"/>
      <w:szCs w:val="20"/>
    </w:rPr>
  </w:style>
  <w:style w:type="character" w:customStyle="1" w:styleId="162">
    <w:name w:val="正文文本缩进 3 Char1"/>
    <w:basedOn w:val="49"/>
    <w:link w:val="41"/>
    <w:semiHidden/>
    <w:qFormat/>
    <w:uiPriority w:val="99"/>
    <w:rPr>
      <w:rFonts w:ascii="Times New Roman" w:hAnsi="Times New Roman" w:eastAsia="宋体" w:cs="Times New Roman"/>
      <w:kern w:val="0"/>
      <w:sz w:val="16"/>
      <w:szCs w:val="16"/>
    </w:rPr>
  </w:style>
  <w:style w:type="paragraph" w:customStyle="1" w:styleId="163">
    <w:name w:val="font6"/>
    <w:basedOn w:val="1"/>
    <w:qFormat/>
    <w:uiPriority w:val="0"/>
    <w:pPr>
      <w:spacing w:before="100" w:beforeAutospacing="1" w:after="100" w:afterAutospacing="1"/>
    </w:pPr>
    <w:rPr>
      <w:sz w:val="24"/>
      <w:szCs w:val="24"/>
    </w:rPr>
  </w:style>
  <w:style w:type="character" w:customStyle="1" w:styleId="164">
    <w:name w:val="HTML 预设格式 Char"/>
    <w:basedOn w:val="49"/>
    <w:link w:val="46"/>
    <w:qFormat/>
    <w:uiPriority w:val="0"/>
    <w:rPr>
      <w:rFonts w:ascii="Arial" w:hAnsi="Arial" w:eastAsia="宋体" w:cs="Arial"/>
      <w:kern w:val="0"/>
      <w:sz w:val="24"/>
      <w:szCs w:val="20"/>
    </w:rPr>
  </w:style>
  <w:style w:type="character" w:customStyle="1" w:styleId="165">
    <w:name w:val="标题 Char1"/>
    <w:basedOn w:val="49"/>
    <w:link w:val="48"/>
    <w:qFormat/>
    <w:uiPriority w:val="10"/>
    <w:rPr>
      <w:rFonts w:eastAsia="宋体" w:asciiTheme="majorHAnsi" w:hAnsiTheme="majorHAnsi" w:cstheme="majorBidi"/>
      <w:b/>
      <w:bCs/>
      <w:kern w:val="0"/>
      <w:sz w:val="32"/>
      <w:szCs w:val="32"/>
    </w:rPr>
  </w:style>
  <w:style w:type="paragraph" w:customStyle="1" w:styleId="166">
    <w:name w:val="样式 标题 1H1h1章l1I11st levelHeading 01Header 1Header1Sec...2"/>
    <w:basedOn w:val="2"/>
    <w:qFormat/>
    <w:uiPriority w:val="0"/>
    <w:pPr>
      <w:widowControl w:val="0"/>
      <w:jc w:val="both"/>
    </w:pPr>
    <w:rPr>
      <w:rFonts w:eastAsia="黑体" w:cs="宋体"/>
      <w:b w:val="0"/>
      <w:sz w:val="36"/>
      <w:szCs w:val="20"/>
    </w:rPr>
  </w:style>
  <w:style w:type="paragraph" w:customStyle="1" w:styleId="167">
    <w:name w:val="样式 样式 首行缩进:  2 字符 + 首行缩进:  2 字符 段前: 0.5 行 段后: 0.5 行"/>
    <w:basedOn w:val="1"/>
    <w:qFormat/>
    <w:uiPriority w:val="0"/>
    <w:pPr>
      <w:widowControl w:val="0"/>
      <w:spacing w:beforeLines="50" w:afterLines="50" w:line="360" w:lineRule="auto"/>
      <w:ind w:firstLine="420" w:firstLineChars="200"/>
      <w:jc w:val="both"/>
    </w:pPr>
    <w:rPr>
      <w:rFonts w:ascii="Arial" w:hAnsi="Arial" w:cs="宋体"/>
      <w:kern w:val="2"/>
      <w:sz w:val="24"/>
      <w:szCs w:val="24"/>
    </w:rPr>
  </w:style>
  <w:style w:type="paragraph" w:customStyle="1" w:styleId="168">
    <w:name w:val="标准"/>
    <w:basedOn w:val="1"/>
    <w:qFormat/>
    <w:uiPriority w:val="0"/>
    <w:pPr>
      <w:widowControl w:val="0"/>
      <w:spacing w:line="0" w:lineRule="atLeast"/>
      <w:ind w:left="480" w:firstLine="425"/>
      <w:jc w:val="right"/>
    </w:pPr>
    <w:rPr>
      <w:rFonts w:ascii="宋体"/>
      <w:kern w:val="2"/>
      <w:sz w:val="24"/>
    </w:rPr>
  </w:style>
  <w:style w:type="paragraph" w:customStyle="1" w:styleId="169">
    <w:name w:val="(标书)正文 Char"/>
    <w:basedOn w:val="1"/>
    <w:qFormat/>
    <w:uiPriority w:val="0"/>
    <w:pPr>
      <w:widowControl w:val="0"/>
      <w:spacing w:line="480" w:lineRule="auto"/>
      <w:ind w:firstLine="522"/>
    </w:pPr>
    <w:rPr>
      <w:spacing w:val="10"/>
      <w:sz w:val="24"/>
      <w:szCs w:val="24"/>
    </w:rPr>
  </w:style>
  <w:style w:type="paragraph" w:customStyle="1" w:styleId="170">
    <w:name w:val="图名"/>
    <w:basedOn w:val="5"/>
    <w:qFormat/>
    <w:uiPriority w:val="0"/>
    <w:pPr>
      <w:spacing w:line="360" w:lineRule="auto"/>
      <w:ind w:firstLine="425" w:firstLineChars="0"/>
    </w:pPr>
    <w:rPr>
      <w:sz w:val="24"/>
    </w:rPr>
  </w:style>
  <w:style w:type="paragraph" w:customStyle="1" w:styleId="171">
    <w:name w:val="编号1"/>
    <w:basedOn w:val="1"/>
    <w:qFormat/>
    <w:uiPriority w:val="0"/>
    <w:pPr>
      <w:widowControl w:val="0"/>
      <w:tabs>
        <w:tab w:val="left" w:pos="360"/>
      </w:tabs>
      <w:adjustRightInd w:val="0"/>
      <w:spacing w:line="300" w:lineRule="auto"/>
      <w:ind w:left="360" w:right="210" w:hanging="360"/>
      <w:jc w:val="both"/>
      <w:textAlignment w:val="center"/>
    </w:pPr>
    <w:rPr>
      <w:rFonts w:ascii="宋体" w:hAnsi="宋体"/>
      <w:snapToGrid w:val="0"/>
      <w:spacing w:val="10"/>
      <w:kern w:val="24"/>
      <w:szCs w:val="24"/>
    </w:rPr>
  </w:style>
  <w:style w:type="paragraph" w:customStyle="1" w:styleId="172">
    <w:name w:val="Char Char Char1 Char Char Char Char"/>
    <w:basedOn w:val="1"/>
    <w:qFormat/>
    <w:uiPriority w:val="0"/>
    <w:pPr>
      <w:spacing w:after="160" w:line="240" w:lineRule="exact"/>
    </w:pPr>
    <w:rPr>
      <w:rFonts w:ascii="Verdana" w:hAnsi="Verdana" w:eastAsia="楷体_GB2312"/>
      <w:b/>
      <w:i/>
      <w:iCs/>
      <w:color w:val="000000"/>
      <w:sz w:val="20"/>
      <w:lang w:eastAsia="en-US"/>
    </w:rPr>
  </w:style>
  <w:style w:type="paragraph" w:customStyle="1" w:styleId="173">
    <w:name w:val="题注4"/>
    <w:basedOn w:val="1"/>
    <w:next w:val="18"/>
    <w:qFormat/>
    <w:uiPriority w:val="0"/>
    <w:pPr>
      <w:widowControl w:val="0"/>
      <w:ind w:left="-132" w:leftChars="-64" w:right="-50" w:rightChars="-50" w:hanging="2"/>
      <w:jc w:val="center"/>
    </w:pPr>
    <w:rPr>
      <w:b/>
      <w:color w:val="FF0000"/>
      <w:kern w:val="2"/>
      <w:lang w:val="en-GB"/>
    </w:rPr>
  </w:style>
  <w:style w:type="paragraph" w:customStyle="1" w:styleId="174">
    <w:name w:val="正文缩进1"/>
    <w:basedOn w:val="1"/>
    <w:qFormat/>
    <w:uiPriority w:val="0"/>
    <w:pPr>
      <w:widowControl w:val="0"/>
      <w:ind w:firstLine="420"/>
      <w:jc w:val="both"/>
    </w:pPr>
    <w:rPr>
      <w:rFonts w:ascii="宋体" w:hAnsi="宋体"/>
      <w:kern w:val="2"/>
    </w:rPr>
  </w:style>
  <w:style w:type="paragraph" w:customStyle="1" w:styleId="175">
    <w:name w:val="样式 正文缩进表正文正文非缩进段1特点ALT+Z水上软件正文不缩进四号特点 Char CharNormal ..."/>
    <w:basedOn w:val="5"/>
    <w:qFormat/>
    <w:uiPriority w:val="0"/>
    <w:pPr>
      <w:spacing w:line="360" w:lineRule="auto"/>
      <w:ind w:firstLine="560"/>
    </w:pPr>
    <w:rPr>
      <w:rFonts w:eastAsia="仿宋_GB2312" w:cs="宋体"/>
      <w:sz w:val="24"/>
    </w:rPr>
  </w:style>
  <w:style w:type="paragraph" w:customStyle="1" w:styleId="176">
    <w:name w:val="样式 首行缩进:  0.74 厘米"/>
    <w:basedOn w:val="1"/>
    <w:qFormat/>
    <w:uiPriority w:val="0"/>
    <w:pPr>
      <w:widowControl w:val="0"/>
      <w:spacing w:line="360" w:lineRule="auto"/>
      <w:ind w:firstLine="200" w:firstLineChars="200"/>
      <w:jc w:val="both"/>
    </w:pPr>
    <w:rPr>
      <w:rFonts w:cs="宋体"/>
      <w:kern w:val="2"/>
      <w:sz w:val="24"/>
    </w:rPr>
  </w:style>
  <w:style w:type="paragraph" w:customStyle="1" w:styleId="177">
    <w:name w:val="样式 标题 1H1h1章l1I11st levelHeading 01Header 1Header1Sec...4"/>
    <w:basedOn w:val="2"/>
    <w:qFormat/>
    <w:uiPriority w:val="0"/>
    <w:pPr>
      <w:widowControl w:val="0"/>
      <w:jc w:val="both"/>
    </w:pPr>
    <w:rPr>
      <w:rFonts w:ascii="黑体" w:hAnsi="黑体" w:eastAsia="黑体" w:cs="宋体"/>
      <w:b w:val="0"/>
      <w:sz w:val="36"/>
      <w:szCs w:val="20"/>
    </w:rPr>
  </w:style>
  <w:style w:type="paragraph" w:customStyle="1" w:styleId="178">
    <w:name w:val="图表注释"/>
    <w:basedOn w:val="1"/>
    <w:qFormat/>
    <w:uiPriority w:val="0"/>
    <w:pPr>
      <w:widowControl w:val="0"/>
      <w:spacing w:line="360" w:lineRule="auto"/>
      <w:jc w:val="center"/>
    </w:pPr>
    <w:rPr>
      <w:rFonts w:ascii="宋体" w:hAnsi="宋体"/>
      <w:bCs/>
      <w:kern w:val="2"/>
      <w:szCs w:val="24"/>
    </w:rPr>
  </w:style>
  <w:style w:type="paragraph" w:customStyle="1" w:styleId="179">
    <w:name w:val="xl26"/>
    <w:basedOn w:val="1"/>
    <w:qFormat/>
    <w:uiPriority w:val="0"/>
    <w:pPr>
      <w:spacing w:before="100" w:beforeAutospacing="1" w:after="100" w:afterAutospacing="1"/>
      <w:jc w:val="center"/>
      <w:textAlignment w:val="center"/>
    </w:pPr>
    <w:rPr>
      <w:rFonts w:ascii="宋体" w:hAnsi="宋体"/>
      <w:b/>
      <w:bCs/>
      <w:sz w:val="24"/>
      <w:szCs w:val="24"/>
    </w:rPr>
  </w:style>
  <w:style w:type="paragraph" w:customStyle="1" w:styleId="180">
    <w:name w:val="封面_项目开发单位"/>
    <w:basedOn w:val="25"/>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181">
    <w:name w:val="xl29"/>
    <w:basedOn w:val="1"/>
    <w:qFormat/>
    <w:uiPriority w:val="0"/>
    <w:pPr>
      <w:spacing w:before="100" w:beforeAutospacing="1" w:after="100" w:afterAutospacing="1"/>
      <w:jc w:val="both"/>
    </w:pPr>
    <w:rPr>
      <w:rFonts w:ascii="宋体" w:hAnsi="宋体"/>
      <w:szCs w:val="21"/>
    </w:rPr>
  </w:style>
  <w:style w:type="paragraph" w:customStyle="1" w:styleId="182">
    <w:name w:val="Char Char Char Char"/>
    <w:basedOn w:val="1"/>
    <w:qFormat/>
    <w:uiPriority w:val="0"/>
    <w:pPr>
      <w:spacing w:after="160" w:line="240" w:lineRule="exact"/>
    </w:pPr>
    <w:rPr>
      <w:rFonts w:ascii="Verdana" w:hAnsi="Verdana" w:eastAsia="仿宋_GB2312"/>
      <w:sz w:val="24"/>
      <w:lang w:eastAsia="en-US"/>
    </w:rPr>
  </w:style>
  <w:style w:type="paragraph" w:customStyle="1" w:styleId="183">
    <w:name w:val="图表脚注"/>
    <w:next w:val="18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5">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86">
    <w:name w:val="样式 正文文本 + 宋体 首行缩进:  0.74 厘米 行距: 1.5 倍行距"/>
    <w:basedOn w:val="16"/>
    <w:qFormat/>
    <w:uiPriority w:val="0"/>
    <w:pPr>
      <w:widowControl w:val="0"/>
      <w:spacing w:line="360" w:lineRule="auto"/>
      <w:ind w:firstLine="200" w:firstLineChars="200"/>
      <w:jc w:val="both"/>
    </w:pPr>
    <w:rPr>
      <w:rFonts w:ascii="Calibri" w:hAnsi="Calibri"/>
      <w:kern w:val="2"/>
      <w:sz w:val="24"/>
      <w:szCs w:val="22"/>
    </w:rPr>
  </w:style>
  <w:style w:type="paragraph" w:customStyle="1" w:styleId="187">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88">
    <w:name w:val="TOC 标题1"/>
    <w:basedOn w:val="2"/>
    <w:next w:val="1"/>
    <w:qFormat/>
    <w:uiPriority w:val="0"/>
    <w:pPr>
      <w:spacing w:before="480" w:after="0" w:line="276" w:lineRule="auto"/>
      <w:outlineLvl w:val="9"/>
    </w:pPr>
    <w:rPr>
      <w:rFonts w:ascii="Cambria" w:hAnsi="Cambria"/>
      <w:color w:val="365F91"/>
      <w:kern w:val="0"/>
      <w:sz w:val="28"/>
      <w:szCs w:val="28"/>
    </w:rPr>
  </w:style>
  <w:style w:type="paragraph" w:customStyle="1" w:styleId="189">
    <w:name w:val="段落1"/>
    <w:basedOn w:val="1"/>
    <w:qFormat/>
    <w:uiPriority w:val="0"/>
    <w:pPr>
      <w:widowControl w:val="0"/>
      <w:autoSpaceDE w:val="0"/>
      <w:autoSpaceDN w:val="0"/>
      <w:adjustRightInd w:val="0"/>
      <w:spacing w:before="105" w:after="120"/>
      <w:jc w:val="both"/>
    </w:pPr>
    <w:rPr>
      <w:rFonts w:ascii="宋体" w:eastAsia="幼圆"/>
    </w:rPr>
  </w:style>
  <w:style w:type="paragraph" w:customStyle="1" w:styleId="190">
    <w:name w:val="样式 中软正文 + 首行缩进:  2 字符 Char Char"/>
    <w:basedOn w:val="1"/>
    <w:qFormat/>
    <w:uiPriority w:val="0"/>
    <w:pPr>
      <w:overflowPunct w:val="0"/>
      <w:autoSpaceDE w:val="0"/>
      <w:autoSpaceDN w:val="0"/>
      <w:adjustRightInd w:val="0"/>
      <w:spacing w:after="120" w:line="440" w:lineRule="exact"/>
      <w:ind w:firstLine="463" w:firstLineChars="192"/>
      <w:textAlignment w:val="baseline"/>
    </w:pPr>
    <w:rPr>
      <w:rFonts w:ascii="方正仿宋简体" w:hAnsi="宋体" w:eastAsia="方正仿宋简体"/>
      <w:b/>
      <w:kern w:val="2"/>
      <w:sz w:val="24"/>
      <w:szCs w:val="24"/>
    </w:rPr>
  </w:style>
  <w:style w:type="paragraph" w:customStyle="1" w:styleId="191">
    <w:name w:val="样式 标题 3 + 右侧:  0.42 厘米"/>
    <w:basedOn w:val="4"/>
    <w:qFormat/>
    <w:uiPriority w:val="0"/>
    <w:pPr>
      <w:keepNext/>
      <w:keepLines/>
      <w:spacing w:before="260" w:after="260" w:line="413" w:lineRule="auto"/>
      <w:ind w:left="0" w:firstLine="0"/>
    </w:pPr>
    <w:rPr>
      <w:rFonts w:ascii="黑体" w:hAnsi="黑体" w:eastAsia="黑体" w:cs="宋体"/>
      <w:sz w:val="30"/>
    </w:rPr>
  </w:style>
  <w:style w:type="paragraph" w:customStyle="1" w:styleId="192">
    <w:name w:val="日期1"/>
    <w:basedOn w:val="1"/>
    <w:next w:val="1"/>
    <w:qFormat/>
    <w:uiPriority w:val="0"/>
    <w:pPr>
      <w:widowControl w:val="0"/>
      <w:adjustRightInd w:val="0"/>
      <w:spacing w:line="312" w:lineRule="atLeast"/>
      <w:jc w:val="both"/>
      <w:textAlignment w:val="baseline"/>
    </w:pPr>
    <w:rPr>
      <w:sz w:val="24"/>
    </w:rPr>
  </w:style>
  <w:style w:type="paragraph" w:customStyle="1" w:styleId="193">
    <w:name w:val="列出段落11"/>
    <w:basedOn w:val="1"/>
    <w:qFormat/>
    <w:uiPriority w:val="0"/>
    <w:pPr>
      <w:widowControl w:val="0"/>
      <w:spacing w:line="360" w:lineRule="auto"/>
      <w:ind w:firstLine="420" w:firstLineChars="200"/>
      <w:jc w:val="both"/>
    </w:pPr>
    <w:rPr>
      <w:kern w:val="2"/>
      <w:sz w:val="24"/>
      <w:szCs w:val="24"/>
    </w:rPr>
  </w:style>
  <w:style w:type="paragraph" w:customStyle="1" w:styleId="194">
    <w:name w:val="标题 31"/>
    <w:basedOn w:val="1"/>
    <w:next w:val="1"/>
    <w:qFormat/>
    <w:uiPriority w:val="0"/>
    <w:pPr>
      <w:keepNext/>
      <w:keepLines/>
      <w:widowControl w:val="0"/>
      <w:spacing w:before="260" w:after="260" w:line="408" w:lineRule="auto"/>
      <w:jc w:val="both"/>
      <w:outlineLvl w:val="2"/>
    </w:pPr>
    <w:rPr>
      <w:rFonts w:ascii="宋体" w:hAnsi="宋体"/>
      <w:b/>
      <w:kern w:val="2"/>
      <w:sz w:val="32"/>
    </w:rPr>
  </w:style>
  <w:style w:type="paragraph" w:customStyle="1" w:styleId="195">
    <w:name w:val="Char Char Char Char Char Char Char"/>
    <w:basedOn w:val="1"/>
    <w:qFormat/>
    <w:uiPriority w:val="0"/>
    <w:pPr>
      <w:widowControl w:val="0"/>
      <w:jc w:val="both"/>
    </w:pPr>
    <w:rPr>
      <w:kern w:val="2"/>
      <w:szCs w:val="24"/>
    </w:rPr>
  </w:style>
  <w:style w:type="paragraph" w:customStyle="1" w:styleId="196">
    <w:name w:val="表内容－居中"/>
    <w:basedOn w:val="1"/>
    <w:qFormat/>
    <w:uiPriority w:val="0"/>
    <w:pPr>
      <w:widowControl w:val="0"/>
      <w:spacing w:line="400" w:lineRule="exact"/>
      <w:jc w:val="center"/>
    </w:pPr>
    <w:rPr>
      <w:rFonts w:cs="宋体"/>
      <w:kern w:val="2"/>
      <w:sz w:val="24"/>
    </w:rPr>
  </w:style>
  <w:style w:type="paragraph" w:customStyle="1" w:styleId="197">
    <w:name w:val="题注5"/>
    <w:basedOn w:val="1"/>
    <w:next w:val="18"/>
    <w:qFormat/>
    <w:uiPriority w:val="0"/>
    <w:pPr>
      <w:widowControl w:val="0"/>
      <w:jc w:val="center"/>
    </w:pPr>
    <w:rPr>
      <w:b/>
      <w:color w:val="000000"/>
      <w:kern w:val="2"/>
      <w:sz w:val="24"/>
      <w:szCs w:val="21"/>
    </w:rPr>
  </w:style>
  <w:style w:type="paragraph" w:customStyle="1" w:styleId="198">
    <w:name w:val="样式 标题 1H1h1章l1I11st levelHeading 01Header 1Header1Sec..."/>
    <w:basedOn w:val="2"/>
    <w:qFormat/>
    <w:uiPriority w:val="0"/>
    <w:pPr>
      <w:widowControl w:val="0"/>
      <w:jc w:val="both"/>
    </w:pPr>
    <w:rPr>
      <w:rFonts w:ascii="黑体" w:hAnsi="黑体" w:eastAsia="黑体" w:cs="宋体"/>
      <w:b w:val="0"/>
      <w:sz w:val="36"/>
      <w:szCs w:val="20"/>
    </w:rPr>
  </w:style>
  <w:style w:type="paragraph" w:customStyle="1" w:styleId="199">
    <w:name w:val="样式 首行缩进:  2 字符"/>
    <w:basedOn w:val="1"/>
    <w:qFormat/>
    <w:uiPriority w:val="0"/>
    <w:pPr>
      <w:widowControl w:val="0"/>
      <w:spacing w:line="360" w:lineRule="auto"/>
      <w:ind w:firstLine="480" w:firstLineChars="200"/>
      <w:jc w:val="both"/>
    </w:pPr>
    <w:rPr>
      <w:rFonts w:eastAsia="仿宋_GB2312" w:cs="宋体"/>
      <w:kern w:val="2"/>
      <w:sz w:val="28"/>
    </w:rPr>
  </w:style>
  <w:style w:type="paragraph" w:customStyle="1" w:styleId="200">
    <w:name w:val="4"/>
    <w:basedOn w:val="1"/>
    <w:next w:val="41"/>
    <w:qFormat/>
    <w:uiPriority w:val="0"/>
    <w:pPr>
      <w:widowControl w:val="0"/>
      <w:ind w:firstLine="900"/>
      <w:jc w:val="both"/>
    </w:pPr>
    <w:rPr>
      <w:kern w:val="2"/>
      <w:sz w:val="28"/>
    </w:rPr>
  </w:style>
  <w:style w:type="paragraph" w:customStyle="1" w:styleId="201">
    <w:name w:val="Char Char Char Char Char Char1 Char Char Char Char Char Char Char Char Char Char Char Char Char Char"/>
    <w:basedOn w:val="1"/>
    <w:qFormat/>
    <w:uiPriority w:val="0"/>
    <w:pPr>
      <w:spacing w:after="160" w:line="240" w:lineRule="exact"/>
    </w:pPr>
    <w:rPr>
      <w:rFonts w:ascii="Verdana" w:hAnsi="Verdana" w:eastAsia="仿宋_GB2312"/>
      <w:sz w:val="24"/>
      <w:lang w:eastAsia="en-US"/>
    </w:rPr>
  </w:style>
  <w:style w:type="paragraph" w:customStyle="1" w:styleId="202">
    <w:name w:val="È±Ê¡ÎÄ±¾"/>
    <w:basedOn w:val="1"/>
    <w:qFormat/>
    <w:uiPriority w:val="0"/>
    <w:pPr>
      <w:overflowPunct w:val="0"/>
      <w:autoSpaceDE w:val="0"/>
      <w:autoSpaceDN w:val="0"/>
      <w:adjustRightInd w:val="0"/>
      <w:jc w:val="both"/>
      <w:textAlignment w:val="baseline"/>
    </w:pPr>
    <w:rPr>
      <w:sz w:val="24"/>
    </w:rPr>
  </w:style>
  <w:style w:type="paragraph" w:customStyle="1" w:styleId="203">
    <w:name w:val="Block"/>
    <w:basedOn w:val="1"/>
    <w:next w:val="126"/>
    <w:qFormat/>
    <w:uiPriority w:val="0"/>
    <w:pPr>
      <w:widowControl w:val="0"/>
      <w:tabs>
        <w:tab w:val="left" w:pos="0"/>
      </w:tabs>
      <w:jc w:val="both"/>
    </w:pPr>
    <w:rPr>
      <w:rFonts w:ascii="Arial" w:hAnsi="Arial" w:eastAsia="楷体_GB2312"/>
      <w:color w:val="000080"/>
      <w:kern w:val="2"/>
      <w:sz w:val="28"/>
      <w:szCs w:val="28"/>
    </w:rPr>
  </w:style>
  <w:style w:type="paragraph" w:customStyle="1" w:styleId="204">
    <w:name w:val="Item Step in Table"/>
    <w:basedOn w:val="1"/>
    <w:qFormat/>
    <w:uiPriority w:val="0"/>
    <w:pPr>
      <w:widowControl w:val="0"/>
      <w:tabs>
        <w:tab w:val="left" w:pos="420"/>
      </w:tabs>
      <w:ind w:left="420" w:hanging="420"/>
    </w:pPr>
    <w:rPr>
      <w:kern w:val="2"/>
      <w:szCs w:val="24"/>
    </w:rPr>
  </w:style>
  <w:style w:type="paragraph" w:customStyle="1" w:styleId="205">
    <w:name w:val="bt"/>
    <w:basedOn w:val="1"/>
    <w:next w:val="16"/>
    <w:qFormat/>
    <w:uiPriority w:val="0"/>
    <w:pPr>
      <w:widowControl w:val="0"/>
      <w:spacing w:after="120"/>
      <w:jc w:val="both"/>
    </w:pPr>
    <w:rPr>
      <w:kern w:val="2"/>
      <w:szCs w:val="24"/>
    </w:rPr>
  </w:style>
  <w:style w:type="paragraph" w:customStyle="1" w:styleId="206">
    <w:name w:val="样式 标题 2H2sect 1.2HD2h2Level 2 Topic Heading2Header 2head..."/>
    <w:basedOn w:val="3"/>
    <w:qFormat/>
    <w:uiPriority w:val="0"/>
    <w:pPr>
      <w:widowControl w:val="0"/>
      <w:jc w:val="both"/>
    </w:pPr>
    <w:rPr>
      <w:rFonts w:ascii="Times New Roman" w:hAnsi="Times New Roman"/>
      <w:b w:val="0"/>
      <w:kern w:val="2"/>
      <w:sz w:val="30"/>
      <w:szCs w:val="30"/>
    </w:rPr>
  </w:style>
  <w:style w:type="paragraph" w:customStyle="1" w:styleId="207">
    <w:name w:val="2"/>
    <w:basedOn w:val="1"/>
    <w:next w:val="25"/>
    <w:qFormat/>
    <w:uiPriority w:val="0"/>
    <w:pPr>
      <w:widowControl w:val="0"/>
      <w:jc w:val="both"/>
    </w:pPr>
    <w:rPr>
      <w:rFonts w:ascii="宋体" w:hAnsi="Courier New"/>
      <w:kern w:val="2"/>
    </w:rPr>
  </w:style>
  <w:style w:type="paragraph" w:customStyle="1" w:styleId="208">
    <w:name w:val="Default Paragraph Font Para Char"/>
    <w:basedOn w:val="1"/>
    <w:qFormat/>
    <w:uiPriority w:val="0"/>
    <w:pPr>
      <w:spacing w:after="160" w:line="240" w:lineRule="exact"/>
    </w:pPr>
    <w:rPr>
      <w:rFonts w:ascii="Verdana" w:hAnsi="Verdana"/>
      <w:sz w:val="20"/>
      <w:lang w:eastAsia="en-US"/>
    </w:rPr>
  </w:style>
  <w:style w:type="paragraph" w:customStyle="1" w:styleId="209">
    <w:name w:val="封面1"/>
    <w:basedOn w:val="34"/>
    <w:qFormat/>
    <w:uiPriority w:val="0"/>
    <w:pPr>
      <w:widowControl w:val="0"/>
      <w:tabs>
        <w:tab w:val="left" w:pos="840"/>
        <w:tab w:val="right" w:leader="dot" w:pos="8296"/>
        <w:tab w:val="clear" w:pos="3420"/>
      </w:tabs>
      <w:spacing w:before="120" w:after="120" w:line="360" w:lineRule="auto"/>
      <w:ind w:firstLine="425"/>
    </w:pPr>
    <w:rPr>
      <w:rFonts w:ascii="黑体" w:eastAsia="黑体"/>
      <w:b w:val="0"/>
      <w:bCs w:val="0"/>
      <w:caps/>
      <w:spacing w:val="50"/>
      <w:kern w:val="2"/>
      <w:sz w:val="52"/>
    </w:rPr>
  </w:style>
  <w:style w:type="paragraph" w:customStyle="1" w:styleId="21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11">
    <w:name w:val="普通 (Web)"/>
    <w:basedOn w:val="1"/>
    <w:qFormat/>
    <w:uiPriority w:val="0"/>
    <w:pPr>
      <w:spacing w:before="100" w:beforeAutospacing="1" w:after="100" w:afterAutospacing="1"/>
    </w:pPr>
    <w:rPr>
      <w:rFonts w:ascii="宋体" w:hAnsi="宋体"/>
      <w:sz w:val="24"/>
    </w:rPr>
  </w:style>
  <w:style w:type="paragraph" w:customStyle="1" w:styleId="212">
    <w:name w:val="Char Char Char Char Char Char1 Char Char Char Char Char Char Char Char Char Char Char Char Char Char1"/>
    <w:basedOn w:val="1"/>
    <w:qFormat/>
    <w:uiPriority w:val="0"/>
    <w:pPr>
      <w:spacing w:after="160" w:line="240" w:lineRule="atLeast"/>
    </w:pPr>
    <w:rPr>
      <w:rFonts w:ascii="Verdana" w:hAnsi="Verdana" w:eastAsia="仿宋_GB2312"/>
      <w:sz w:val="24"/>
      <w:lang w:eastAsia="en-US"/>
    </w:rPr>
  </w:style>
  <w:style w:type="paragraph" w:customStyle="1" w:styleId="213">
    <w:name w:val="Char Char Char Char Char Char1 Char Char Char Char"/>
    <w:basedOn w:val="1"/>
    <w:qFormat/>
    <w:uiPriority w:val="0"/>
    <w:pPr>
      <w:tabs>
        <w:tab w:val="left" w:pos="1260"/>
      </w:tabs>
      <w:spacing w:after="160" w:line="240" w:lineRule="exact"/>
      <w:ind w:left="1260" w:hanging="525"/>
    </w:pPr>
    <w:rPr>
      <w:rFonts w:ascii="Verdana" w:hAnsi="Verdana"/>
      <w:lang w:eastAsia="en-US"/>
    </w:rPr>
  </w:style>
  <w:style w:type="paragraph" w:customStyle="1" w:styleId="214">
    <w:name w:val="海南模板"/>
    <w:basedOn w:val="1"/>
    <w:next w:val="48"/>
    <w:qFormat/>
    <w:uiPriority w:val="0"/>
    <w:pPr>
      <w:widowControl w:val="0"/>
      <w:tabs>
        <w:tab w:val="left" w:pos="360"/>
      </w:tabs>
      <w:spacing w:after="120" w:line="460" w:lineRule="exact"/>
      <w:jc w:val="both"/>
    </w:pPr>
    <w:rPr>
      <w:rFonts w:eastAsia="仿宋_GB2312"/>
      <w:kern w:val="2"/>
      <w:sz w:val="28"/>
    </w:rPr>
  </w:style>
  <w:style w:type="paragraph" w:customStyle="1" w:styleId="215">
    <w:name w:val="Char Char Char"/>
    <w:basedOn w:val="1"/>
    <w:qFormat/>
    <w:uiPriority w:val="0"/>
    <w:pPr>
      <w:widowControl w:val="0"/>
      <w:jc w:val="both"/>
    </w:pPr>
    <w:rPr>
      <w:rFonts w:ascii="Tahoma" w:hAnsi="Tahoma"/>
      <w:kern w:val="2"/>
      <w:sz w:val="24"/>
    </w:rPr>
  </w:style>
  <w:style w:type="paragraph" w:customStyle="1" w:styleId="216">
    <w:name w:val="Char Char Char Char Char Char Char1"/>
    <w:basedOn w:val="1"/>
    <w:qFormat/>
    <w:uiPriority w:val="0"/>
    <w:pPr>
      <w:widowControl w:val="0"/>
      <w:jc w:val="both"/>
    </w:pPr>
    <w:rPr>
      <w:rFonts w:ascii="Tahoma" w:hAnsi="Tahoma"/>
      <w:kern w:val="2"/>
      <w:sz w:val="24"/>
    </w:rPr>
  </w:style>
  <w:style w:type="paragraph" w:customStyle="1" w:styleId="217">
    <w:name w:val="Item Step"/>
    <w:basedOn w:val="1"/>
    <w:qFormat/>
    <w:uiPriority w:val="0"/>
    <w:pPr>
      <w:tabs>
        <w:tab w:val="left" w:pos="1134"/>
      </w:tabs>
      <w:spacing w:afterLines="50"/>
      <w:ind w:left="1554" w:hanging="420"/>
    </w:pPr>
    <w:rPr>
      <w:kern w:val="2"/>
      <w:szCs w:val="24"/>
    </w:rPr>
  </w:style>
  <w:style w:type="paragraph" w:customStyle="1" w:styleId="218">
    <w:name w:val="样式 标题 4 + (西文) 黑体 加粗"/>
    <w:basedOn w:val="6"/>
    <w:qFormat/>
    <w:uiPriority w:val="0"/>
    <w:pPr>
      <w:widowControl w:val="0"/>
      <w:ind w:left="0" w:firstLine="200" w:firstLineChars="200"/>
      <w:jc w:val="both"/>
    </w:pPr>
    <w:rPr>
      <w:rFonts w:ascii="黑体" w:hAnsi="黑体"/>
      <w:b w:val="0"/>
      <w:kern w:val="2"/>
      <w:sz w:val="30"/>
    </w:rPr>
  </w:style>
  <w:style w:type="paragraph" w:customStyle="1" w:styleId="219">
    <w:name w:val="办公自动化专用标题"/>
    <w:basedOn w:val="48"/>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1">
    <w:name w:val="标题 22"/>
    <w:basedOn w:val="1"/>
    <w:next w:val="1"/>
    <w:qFormat/>
    <w:uiPriority w:val="0"/>
    <w:pPr>
      <w:keepNext/>
      <w:keepLines/>
      <w:widowControl w:val="0"/>
      <w:spacing w:before="260" w:after="260" w:line="408" w:lineRule="auto"/>
      <w:jc w:val="both"/>
      <w:outlineLvl w:val="1"/>
    </w:pPr>
    <w:rPr>
      <w:rFonts w:ascii="Arial" w:hAnsi="Arial" w:eastAsia="黑体"/>
      <w:b/>
      <w:kern w:val="2"/>
      <w:sz w:val="32"/>
    </w:rPr>
  </w:style>
  <w:style w:type="paragraph" w:customStyle="1" w:styleId="222">
    <w:name w:val="1"/>
    <w:basedOn w:val="1"/>
    <w:next w:val="16"/>
    <w:qFormat/>
    <w:uiPriority w:val="0"/>
    <w:pPr>
      <w:spacing w:after="120"/>
    </w:pPr>
  </w:style>
  <w:style w:type="paragraph" w:customStyle="1" w:styleId="223">
    <w:name w:val="正文无缩进"/>
    <w:basedOn w:val="1"/>
    <w:qFormat/>
    <w:uiPriority w:val="0"/>
    <w:pPr>
      <w:widowControl w:val="0"/>
      <w:adjustRightInd w:val="0"/>
      <w:spacing w:line="300" w:lineRule="auto"/>
      <w:ind w:firstLine="425"/>
      <w:jc w:val="both"/>
      <w:textAlignment w:val="baseline"/>
    </w:pPr>
    <w:rPr>
      <w:sz w:val="24"/>
    </w:rPr>
  </w:style>
  <w:style w:type="paragraph" w:customStyle="1" w:styleId="224">
    <w:name w:val="封面_项目建设单位"/>
    <w:basedOn w:val="25"/>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25">
    <w:name w:val="样式 标题 2H2sect 1.2HD2h2Level 2 Topic Heading2Header 2head...1"/>
    <w:basedOn w:val="3"/>
    <w:qFormat/>
    <w:uiPriority w:val="0"/>
    <w:pPr>
      <w:widowControl w:val="0"/>
      <w:jc w:val="both"/>
    </w:pPr>
    <w:rPr>
      <w:rFonts w:ascii="黑体" w:hAnsi="黑体"/>
      <w:b w:val="0"/>
      <w:kern w:val="2"/>
      <w:sz w:val="30"/>
      <w:szCs w:val="30"/>
    </w:rPr>
  </w:style>
  <w:style w:type="paragraph" w:customStyle="1" w:styleId="226">
    <w:name w:val="文章采用"/>
    <w:basedOn w:val="1"/>
    <w:qFormat/>
    <w:uiPriority w:val="0"/>
    <w:pPr>
      <w:widowControl w:val="0"/>
      <w:spacing w:line="360" w:lineRule="auto"/>
      <w:ind w:firstLine="560" w:firstLineChars="200"/>
      <w:jc w:val="both"/>
    </w:pPr>
    <w:rPr>
      <w:rFonts w:eastAsia="仿宋_GB2312" w:cs="宋体"/>
      <w:kern w:val="2"/>
      <w:sz w:val="28"/>
    </w:rPr>
  </w:style>
  <w:style w:type="paragraph" w:customStyle="1" w:styleId="227">
    <w:name w:val="正文段落"/>
    <w:basedOn w:val="1"/>
    <w:qFormat/>
    <w:uiPriority w:val="0"/>
    <w:pPr>
      <w:widowControl w:val="0"/>
      <w:ind w:firstLine="200" w:firstLineChars="200"/>
      <w:jc w:val="both"/>
    </w:pPr>
    <w:rPr>
      <w:kern w:val="2"/>
      <w:szCs w:val="24"/>
    </w:rPr>
  </w:style>
  <w:style w:type="paragraph" w:customStyle="1" w:styleId="228">
    <w:name w:val="Char Char Char1"/>
    <w:basedOn w:val="1"/>
    <w:qFormat/>
    <w:uiPriority w:val="0"/>
    <w:pPr>
      <w:widowControl w:val="0"/>
      <w:jc w:val="both"/>
    </w:pPr>
    <w:rPr>
      <w:kern w:val="2"/>
      <w:szCs w:val="24"/>
    </w:rPr>
  </w:style>
  <w:style w:type="paragraph" w:customStyle="1" w:styleId="229">
    <w:name w:val="正文文本缩进1"/>
    <w:basedOn w:val="1"/>
    <w:qFormat/>
    <w:uiPriority w:val="0"/>
    <w:pPr>
      <w:widowControl w:val="0"/>
      <w:ind w:firstLine="830" w:firstLineChars="352"/>
      <w:jc w:val="both"/>
    </w:pPr>
    <w:rPr>
      <w:rFonts w:ascii="仿宋_GB2312" w:eastAsia="仿宋_GB2312"/>
      <w:kern w:val="2"/>
      <w:sz w:val="32"/>
    </w:rPr>
  </w:style>
  <w:style w:type="paragraph" w:customStyle="1" w:styleId="230">
    <w:name w:val="图表"/>
    <w:basedOn w:val="1"/>
    <w:qFormat/>
    <w:uiPriority w:val="0"/>
    <w:pPr>
      <w:widowControl w:val="0"/>
      <w:jc w:val="both"/>
    </w:pPr>
    <w:rPr>
      <w:rFonts w:ascii="宋体" w:hAnsi="宋体"/>
      <w:kern w:val="2"/>
      <w:sz w:val="18"/>
      <w:szCs w:val="18"/>
    </w:rPr>
  </w:style>
  <w:style w:type="paragraph" w:customStyle="1" w:styleId="231">
    <w:name w:val="font0"/>
    <w:basedOn w:val="1"/>
    <w:qFormat/>
    <w:uiPriority w:val="0"/>
    <w:pPr>
      <w:spacing w:before="100" w:beforeAutospacing="1" w:after="100" w:afterAutospacing="1"/>
    </w:pPr>
    <w:rPr>
      <w:rFonts w:hint="eastAsia" w:ascii="宋体" w:hAnsi="宋体"/>
      <w:sz w:val="24"/>
      <w:szCs w:val="24"/>
    </w:rPr>
  </w:style>
  <w:style w:type="paragraph" w:customStyle="1" w:styleId="232">
    <w:name w:val="3"/>
    <w:basedOn w:val="1"/>
    <w:next w:val="25"/>
    <w:qFormat/>
    <w:uiPriority w:val="0"/>
    <w:pPr>
      <w:widowControl w:val="0"/>
      <w:jc w:val="both"/>
    </w:pPr>
    <w:rPr>
      <w:rFonts w:ascii="宋体" w:hAnsi="Courier New"/>
      <w:kern w:val="2"/>
    </w:rPr>
  </w:style>
  <w:style w:type="paragraph" w:customStyle="1" w:styleId="233">
    <w:name w:val="图注"/>
    <w:basedOn w:val="5"/>
    <w:qFormat/>
    <w:uiPriority w:val="0"/>
    <w:pPr>
      <w:spacing w:line="360" w:lineRule="auto"/>
      <w:ind w:firstLine="0" w:firstLineChars="0"/>
      <w:jc w:val="center"/>
    </w:pPr>
    <w:rPr>
      <w:sz w:val="24"/>
    </w:rPr>
  </w:style>
  <w:style w:type="paragraph" w:customStyle="1" w:styleId="234">
    <w:name w:val="Char"/>
    <w:basedOn w:val="1"/>
    <w:qFormat/>
    <w:uiPriority w:val="0"/>
    <w:pPr>
      <w:spacing w:after="160" w:line="240" w:lineRule="exact"/>
    </w:pPr>
    <w:rPr>
      <w:rFonts w:ascii="Verdana" w:hAnsi="Verdana" w:eastAsia="仿宋_GB2312"/>
      <w:sz w:val="24"/>
      <w:lang w:eastAsia="en-US"/>
    </w:rPr>
  </w:style>
  <w:style w:type="paragraph" w:customStyle="1" w:styleId="235">
    <w:name w:val="表格内容"/>
    <w:basedOn w:val="16"/>
    <w:qFormat/>
    <w:uiPriority w:val="0"/>
    <w:pPr>
      <w:widowControl w:val="0"/>
      <w:suppressLineNumbers/>
      <w:suppressAutoHyphens/>
    </w:pPr>
    <w:rPr>
      <w:sz w:val="24"/>
      <w:szCs w:val="24"/>
    </w:rPr>
  </w:style>
  <w:style w:type="paragraph" w:customStyle="1" w:styleId="236">
    <w:name w:val="表格文字"/>
    <w:basedOn w:val="1"/>
    <w:qFormat/>
    <w:uiPriority w:val="0"/>
    <w:pPr>
      <w:widowControl w:val="0"/>
      <w:spacing w:before="25" w:after="25" w:line="300" w:lineRule="auto"/>
      <w:jc w:val="both"/>
    </w:pPr>
    <w:rPr>
      <w:rFonts w:ascii="Times" w:hAnsi="Times"/>
      <w:spacing w:val="10"/>
      <w:sz w:val="24"/>
    </w:rPr>
  </w:style>
  <w:style w:type="paragraph" w:customStyle="1" w:styleId="237">
    <w:name w:val="表格字"/>
    <w:basedOn w:val="1"/>
    <w:qFormat/>
    <w:uiPriority w:val="0"/>
    <w:pPr>
      <w:widowControl w:val="0"/>
      <w:adjustRightInd w:val="0"/>
      <w:jc w:val="center"/>
    </w:pPr>
    <w:rPr>
      <w:rFonts w:ascii="宋体"/>
      <w:kern w:val="2"/>
      <w:sz w:val="24"/>
    </w:rPr>
  </w:style>
  <w:style w:type="paragraph" w:customStyle="1" w:styleId="238">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239">
    <w:name w:val="Char1"/>
    <w:basedOn w:val="19"/>
    <w:qFormat/>
    <w:uiPriority w:val="0"/>
    <w:pPr>
      <w:widowControl w:val="0"/>
      <w:jc w:val="both"/>
    </w:pPr>
  </w:style>
  <w:style w:type="paragraph" w:customStyle="1" w:styleId="240">
    <w:name w:val="Char Char Char1 Char"/>
    <w:basedOn w:val="1"/>
    <w:qFormat/>
    <w:uiPriority w:val="0"/>
    <w:pPr>
      <w:spacing w:after="160" w:line="240" w:lineRule="exact"/>
    </w:pPr>
    <w:rPr>
      <w:rFonts w:ascii="Verdana" w:hAnsi="Verdana" w:eastAsia="仿宋_GB2312"/>
      <w:sz w:val="24"/>
      <w:lang w:eastAsia="en-US"/>
    </w:rPr>
  </w:style>
  <w:style w:type="paragraph" w:customStyle="1" w:styleId="241">
    <w:name w:val="样式 首行缩进:  2 字符 段后: 0.5 行"/>
    <w:basedOn w:val="1"/>
    <w:qFormat/>
    <w:uiPriority w:val="0"/>
    <w:pPr>
      <w:widowControl w:val="0"/>
      <w:tabs>
        <w:tab w:val="left" w:pos="980"/>
      </w:tabs>
      <w:spacing w:line="360" w:lineRule="auto"/>
      <w:ind w:left="980" w:hanging="420"/>
    </w:pPr>
    <w:rPr>
      <w:rFonts w:eastAsia="仿宋_GB2312" w:cs="宋体"/>
      <w:kern w:val="2"/>
      <w:sz w:val="28"/>
    </w:rPr>
  </w:style>
  <w:style w:type="paragraph" w:customStyle="1" w:styleId="242">
    <w:name w:val="标题51 Char Char Char"/>
    <w:basedOn w:val="7"/>
    <w:next w:val="7"/>
    <w:qFormat/>
    <w:uiPriority w:val="0"/>
    <w:pPr>
      <w:widowControl w:val="0"/>
      <w:tabs>
        <w:tab w:val="left" w:pos="1307"/>
      </w:tabs>
      <w:spacing w:beforeLines="50" w:after="120" w:line="360" w:lineRule="auto"/>
      <w:ind w:left="1307" w:hanging="992"/>
      <w:jc w:val="both"/>
    </w:pPr>
    <w:rPr>
      <w:rFonts w:ascii="Tahoma" w:hAnsi="Tahoma" w:eastAsia="黑体"/>
      <w:b w:val="0"/>
      <w:color w:val="000000"/>
      <w:kern w:val="2"/>
      <w:sz w:val="24"/>
      <w:szCs w:val="20"/>
    </w:rPr>
  </w:style>
  <w:style w:type="paragraph" w:customStyle="1" w:styleId="243">
    <w:name w:val="样式 标题 1H1h1章l1I11st levelHeading 01Header 1Header1Sec...1"/>
    <w:basedOn w:val="2"/>
    <w:qFormat/>
    <w:uiPriority w:val="0"/>
    <w:pPr>
      <w:widowControl w:val="0"/>
      <w:jc w:val="both"/>
    </w:pPr>
    <w:rPr>
      <w:rFonts w:ascii="黑体" w:hAnsi="黑体" w:eastAsia="黑体" w:cs="宋体"/>
      <w:b w:val="0"/>
      <w:sz w:val="36"/>
      <w:szCs w:val="20"/>
    </w:rPr>
  </w:style>
  <w:style w:type="paragraph" w:customStyle="1" w:styleId="244">
    <w:name w:val="Char2"/>
    <w:basedOn w:val="1"/>
    <w:qFormat/>
    <w:uiPriority w:val="0"/>
    <w:pPr>
      <w:widowControl w:val="0"/>
      <w:jc w:val="both"/>
    </w:pPr>
    <w:rPr>
      <w:kern w:val="2"/>
      <w:szCs w:val="24"/>
    </w:rPr>
  </w:style>
  <w:style w:type="paragraph" w:customStyle="1" w:styleId="245">
    <w:name w:val="样式 标题 1H1h1章l1I11st levelHeading 01Header 1Header1Sec...3"/>
    <w:basedOn w:val="2"/>
    <w:qFormat/>
    <w:uiPriority w:val="0"/>
    <w:pPr>
      <w:widowControl w:val="0"/>
      <w:jc w:val="both"/>
    </w:pPr>
    <w:rPr>
      <w:rFonts w:ascii="黑体" w:hAnsi="黑体" w:eastAsia="黑体" w:cs="宋体"/>
      <w:b w:val="0"/>
      <w:sz w:val="36"/>
      <w:szCs w:val="20"/>
    </w:rPr>
  </w:style>
  <w:style w:type="paragraph" w:customStyle="1" w:styleId="246">
    <w:name w:val="表格名"/>
    <w:basedOn w:val="81"/>
    <w:qFormat/>
    <w:uiPriority w:val="0"/>
    <w:pPr>
      <w:ind w:left="420" w:firstLine="0" w:firstLineChars="0"/>
      <w:jc w:val="center"/>
    </w:pPr>
    <w:rPr>
      <w:rFonts w:ascii="宋体" w:hAnsi="宋体"/>
      <w:b/>
      <w:sz w:val="21"/>
      <w:szCs w:val="21"/>
    </w:rPr>
  </w:style>
  <w:style w:type="paragraph" w:customStyle="1" w:styleId="247">
    <w:name w:val="表格样式"/>
    <w:basedOn w:val="1"/>
    <w:qFormat/>
    <w:uiPriority w:val="0"/>
    <w:pPr>
      <w:widowControl w:val="0"/>
      <w:spacing w:line="360" w:lineRule="auto"/>
      <w:ind w:firstLine="425"/>
      <w:jc w:val="both"/>
    </w:pPr>
    <w:rPr>
      <w:rFonts w:eastAsia="幼圆"/>
      <w:kern w:val="2"/>
      <w:sz w:val="24"/>
    </w:rPr>
  </w:style>
  <w:style w:type="paragraph" w:customStyle="1" w:styleId="248">
    <w:name w:val="样式2"/>
    <w:basedOn w:val="3"/>
    <w:qFormat/>
    <w:uiPriority w:val="0"/>
    <w:pPr>
      <w:keepLines w:val="0"/>
      <w:widowControl w:val="0"/>
      <w:spacing w:before="0" w:after="0" w:line="360" w:lineRule="auto"/>
      <w:ind w:left="567" w:hanging="567"/>
    </w:pPr>
    <w:rPr>
      <w:rFonts w:ascii="宋体" w:hAnsi="宋体" w:eastAsia="宋体"/>
      <w:bCs w:val="0"/>
      <w:kern w:val="2"/>
      <w:szCs w:val="24"/>
    </w:rPr>
  </w:style>
  <w:style w:type="paragraph" w:customStyle="1" w:styleId="249">
    <w:name w:val="msoacetate"/>
    <w:basedOn w:val="1"/>
    <w:qFormat/>
    <w:uiPriority w:val="0"/>
    <w:pPr>
      <w:widowControl w:val="0"/>
      <w:jc w:val="both"/>
    </w:pPr>
    <w:rPr>
      <w:rFonts w:ascii="Tahoma" w:hAnsi="Tahoma"/>
      <w:kern w:val="2"/>
      <w:sz w:val="18"/>
      <w:szCs w:val="18"/>
    </w:rPr>
  </w:style>
  <w:style w:type="paragraph" w:customStyle="1" w:styleId="250">
    <w:name w:val="样式 标题 2H2sect 1.2HD2h2Level 2 Topic Heading2Header 2head...2"/>
    <w:basedOn w:val="3"/>
    <w:qFormat/>
    <w:uiPriority w:val="0"/>
    <w:pPr>
      <w:widowControl w:val="0"/>
      <w:jc w:val="both"/>
    </w:pPr>
    <w:rPr>
      <w:rFonts w:ascii="黑体" w:hAnsi="黑体"/>
      <w:kern w:val="2"/>
      <w:sz w:val="30"/>
      <w:szCs w:val="30"/>
    </w:rPr>
  </w:style>
  <w:style w:type="paragraph" w:customStyle="1" w:styleId="251">
    <w:name w:val="Figure title"/>
    <w:basedOn w:val="1"/>
    <w:next w:val="1"/>
    <w:qFormat/>
    <w:uiPriority w:val="0"/>
    <w:pPr>
      <w:suppressAutoHyphens/>
      <w:spacing w:before="220" w:after="220" w:line="230" w:lineRule="atLeast"/>
      <w:jc w:val="center"/>
    </w:pPr>
    <w:rPr>
      <w:rFonts w:ascii="Arial" w:hAnsi="Arial"/>
      <w:b/>
      <w:sz w:val="20"/>
      <w:lang w:val="en-GB"/>
    </w:rPr>
  </w:style>
  <w:style w:type="paragraph" w:customStyle="1" w:styleId="252">
    <w:name w:val="Char11"/>
    <w:basedOn w:val="1"/>
    <w:qFormat/>
    <w:uiPriority w:val="0"/>
    <w:pPr>
      <w:widowControl w:val="0"/>
      <w:snapToGrid w:val="0"/>
      <w:jc w:val="both"/>
    </w:pPr>
    <w:rPr>
      <w:rFonts w:ascii="Arial" w:hAnsi="Arial"/>
      <w:kern w:val="2"/>
      <w:szCs w:val="21"/>
    </w:rPr>
  </w:style>
  <w:style w:type="paragraph" w:customStyle="1" w:styleId="253">
    <w:name w:val="默认段落字体 Para Char"/>
    <w:basedOn w:val="1"/>
    <w:qFormat/>
    <w:uiPriority w:val="0"/>
    <w:pPr>
      <w:widowControl w:val="0"/>
      <w:spacing w:line="360" w:lineRule="auto"/>
      <w:jc w:val="both"/>
    </w:pPr>
    <w:rPr>
      <w:rFonts w:ascii="Tahoma" w:hAnsi="Tahoma"/>
      <w:kern w:val="2"/>
      <w:sz w:val="24"/>
    </w:rPr>
  </w:style>
  <w:style w:type="paragraph" w:customStyle="1" w:styleId="254">
    <w:name w:val="Char Char Char Char Char Char Char Char Char Char Char Char Char Char Char Char"/>
    <w:basedOn w:val="1"/>
    <w:qFormat/>
    <w:uiPriority w:val="0"/>
    <w:pPr>
      <w:spacing w:after="160" w:line="240" w:lineRule="exact"/>
    </w:pPr>
    <w:rPr>
      <w:rFonts w:ascii="Verdana" w:hAnsi="Verdana" w:eastAsia="仿宋_GB2312"/>
      <w:sz w:val="24"/>
      <w:lang w:eastAsia="en-US"/>
    </w:rPr>
  </w:style>
  <w:style w:type="paragraph" w:customStyle="1" w:styleId="255">
    <w:name w:val="样式 表格名称 + 两端对齐"/>
    <w:basedOn w:val="82"/>
    <w:qFormat/>
    <w:uiPriority w:val="0"/>
    <w:pPr>
      <w:ind w:left="984" w:hanging="420"/>
      <w:jc w:val="both"/>
    </w:pPr>
    <w:rPr>
      <w:rFonts w:cs="宋体"/>
      <w:bCs/>
      <w:sz w:val="21"/>
      <w:szCs w:val="20"/>
    </w:rPr>
  </w:style>
  <w:style w:type="paragraph" w:customStyle="1" w:styleId="256">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257">
    <w:name w:val="font5"/>
    <w:basedOn w:val="1"/>
    <w:qFormat/>
    <w:uiPriority w:val="0"/>
    <w:pPr>
      <w:spacing w:before="100" w:beforeAutospacing="1" w:after="100" w:afterAutospacing="1"/>
    </w:pPr>
    <w:rPr>
      <w:rFonts w:hint="eastAsia" w:ascii="宋体" w:hAnsi="宋体"/>
      <w:sz w:val="18"/>
      <w:szCs w:val="18"/>
    </w:rPr>
  </w:style>
  <w:style w:type="paragraph" w:customStyle="1" w:styleId="258">
    <w:name w:val="标题5"/>
    <w:basedOn w:val="5"/>
    <w:next w:val="5"/>
    <w:qFormat/>
    <w:uiPriority w:val="0"/>
    <w:pPr>
      <w:spacing w:line="360" w:lineRule="auto"/>
      <w:ind w:firstLine="0" w:firstLineChars="0"/>
    </w:pPr>
    <w:rPr>
      <w:bCs/>
      <w:sz w:val="30"/>
    </w:rPr>
  </w:style>
  <w:style w:type="paragraph" w:customStyle="1" w:styleId="259">
    <w:name w:val="Char1 Char Char Char1"/>
    <w:basedOn w:val="1"/>
    <w:qFormat/>
    <w:uiPriority w:val="0"/>
    <w:pPr>
      <w:spacing w:after="160" w:line="240" w:lineRule="exact"/>
    </w:pPr>
    <w:rPr>
      <w:rFonts w:ascii="Verdana" w:hAnsi="Verdana"/>
      <w:sz w:val="20"/>
      <w:lang w:eastAsia="en-US"/>
    </w:rPr>
  </w:style>
  <w:style w:type="paragraph" w:customStyle="1" w:styleId="260">
    <w:name w:val="目录"/>
    <w:basedOn w:val="1"/>
    <w:qFormat/>
    <w:uiPriority w:val="0"/>
    <w:pPr>
      <w:spacing w:line="480" w:lineRule="auto"/>
      <w:jc w:val="center"/>
    </w:pPr>
    <w:rPr>
      <w:rFonts w:ascii="宋体"/>
      <w:b/>
      <w:sz w:val="24"/>
    </w:rPr>
  </w:style>
  <w:style w:type="paragraph" w:customStyle="1" w:styleId="26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2">
    <w:name w:val="正文（首行缩进2字符）"/>
    <w:basedOn w:val="1"/>
    <w:qFormat/>
    <w:uiPriority w:val="0"/>
    <w:pPr>
      <w:widowControl w:val="0"/>
      <w:spacing w:line="360" w:lineRule="auto"/>
      <w:ind w:firstLine="480" w:firstLineChars="200"/>
      <w:jc w:val="both"/>
    </w:pPr>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1" Type="http://schemas.openxmlformats.org/officeDocument/2006/relationships/image" Target="media/image1.wmf"/></Relationships>
</file>

<file path=word/_rels/foot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5290</Words>
  <Characters>30153</Characters>
  <Lines>251</Lines>
  <Paragraphs>70</Paragraphs>
  <TotalTime>13</TotalTime>
  <ScaleCrop>false</ScaleCrop>
  <LinksUpToDate>false</LinksUpToDate>
  <CharactersWithSpaces>35373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2016-09-19T01:45:00Z</dcterms:created>
  <dc:creator>2096</dc:creator>
  <cp:lastModifiedBy>Relax</cp:lastModifiedBy>
  <dcterms:modified xsi:type="dcterms:W3CDTF">2018-06-12T07:43:28Z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