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jc w:val="center"/>
        <w:rPr>
          <w:rFonts w:hint="eastAsia" w:ascii="宋体" w:hAnsi="宋体" w:cs="宋体"/>
          <w:b/>
          <w:sz w:val="32"/>
          <w:szCs w:val="32"/>
        </w:rPr>
      </w:pPr>
      <w:bookmarkStart w:id="0" w:name="OLE_LINK33"/>
      <w:r>
        <w:rPr>
          <w:rFonts w:hint="eastAsia" w:ascii="宋体" w:hAnsi="宋体" w:cs="宋体"/>
          <w:b/>
          <w:sz w:val="32"/>
          <w:szCs w:val="32"/>
        </w:rPr>
        <w:drawing>
          <wp:inline distT="0" distB="0" distL="114300" distR="114300">
            <wp:extent cx="6187440" cy="8754110"/>
            <wp:effectExtent l="0" t="0" r="3810" b="8890"/>
            <wp:docPr id="1" name="图片 1" descr="招标文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标文件封面"/>
                    <pic:cNvPicPr>
                      <a:picLocks noChangeAspect="1"/>
                    </pic:cNvPicPr>
                  </pic:nvPicPr>
                  <pic:blipFill>
                    <a:blip r:embed="rId8"/>
                    <a:stretch>
                      <a:fillRect/>
                    </a:stretch>
                  </pic:blipFill>
                  <pic:spPr>
                    <a:xfrm>
                      <a:off x="0" y="0"/>
                      <a:ext cx="6187440" cy="8754110"/>
                    </a:xfrm>
                    <a:prstGeom prst="rect">
                      <a:avLst/>
                    </a:prstGeom>
                  </pic:spPr>
                </pic:pic>
              </a:graphicData>
            </a:graphic>
          </wp:inline>
        </w:drawing>
      </w:r>
      <w:r>
        <w:rPr>
          <w:rFonts w:hint="eastAsia" w:ascii="宋体" w:hAnsi="宋体" w:cs="宋体"/>
          <w:b/>
          <w:sz w:val="32"/>
          <w:szCs w:val="32"/>
        </w:rPr>
        <w:br w:type="page"/>
      </w:r>
    </w:p>
    <w:p>
      <w:pPr>
        <w:spacing w:after="120" w:afterLines="50" w:line="360" w:lineRule="auto"/>
        <w:jc w:val="center"/>
        <w:rPr>
          <w:rFonts w:ascii="宋体" w:hAnsi="宋体" w:cs="宋体"/>
          <w:b/>
          <w:sz w:val="32"/>
          <w:szCs w:val="32"/>
        </w:rPr>
      </w:pPr>
      <w:r>
        <w:rPr>
          <w:rFonts w:hint="eastAsia" w:ascii="宋体" w:hAnsi="宋体" w:cs="宋体"/>
          <w:b/>
          <w:sz w:val="32"/>
          <w:szCs w:val="32"/>
        </w:rPr>
        <w:t>温馨提示</w:t>
      </w:r>
    </w:p>
    <w:p>
      <w:pPr>
        <w:spacing w:line="360" w:lineRule="auto"/>
        <w:jc w:val="center"/>
        <w:rPr>
          <w:rFonts w:ascii="宋体" w:hAnsi="宋体" w:cs="宋体"/>
          <w:sz w:val="24"/>
          <w:szCs w:val="24"/>
        </w:rPr>
      </w:pPr>
      <w:r>
        <w:rPr>
          <w:rFonts w:hint="eastAsia" w:ascii="宋体" w:hAnsi="宋体" w:cs="宋体"/>
          <w:sz w:val="24"/>
          <w:szCs w:val="24"/>
        </w:rPr>
        <w:t>（本提示内容非招标文件的组成部分，仅为善意提醒。如有不一致，以招标文件为准）</w:t>
      </w:r>
    </w:p>
    <w:p>
      <w:pPr>
        <w:tabs>
          <w:tab w:val="left" w:pos="851"/>
        </w:tabs>
        <w:spacing w:line="460" w:lineRule="exact"/>
        <w:ind w:firstLine="400" w:firstLineChars="200"/>
        <w:rPr>
          <w:rFonts w:hint="eastAsia" w:ascii="宋体" w:hAnsi="宋体" w:cs="宋体"/>
          <w:sz w:val="22"/>
          <w:szCs w:val="24"/>
        </w:rPr>
      </w:pPr>
      <w:r>
        <w:rPr>
          <w:rFonts w:hint="eastAsia" w:ascii="宋体" w:hAnsi="宋体" w:cs="宋体"/>
          <w:sz w:val="20"/>
        </w:rPr>
        <w:t>一、</w:t>
      </w:r>
      <w:r>
        <w:rPr>
          <w:rFonts w:hint="eastAsia" w:ascii="宋体" w:hAnsi="宋体" w:cs="宋体"/>
          <w:sz w:val="22"/>
          <w:szCs w:val="24"/>
        </w:rPr>
        <w:t>建议投标人在报名前登录中山市公共资源交易网（http://www.zsjyzx.gov.cn）进行用户注册登记，便于顺利完成网上报名。</w:t>
      </w:r>
    </w:p>
    <w:p>
      <w:pPr>
        <w:tabs>
          <w:tab w:val="left" w:pos="851"/>
        </w:tabs>
        <w:spacing w:line="460" w:lineRule="exact"/>
        <w:ind w:firstLine="440" w:firstLineChars="200"/>
        <w:rPr>
          <w:rFonts w:hint="eastAsia" w:ascii="宋体" w:hAnsi="宋体" w:cs="宋体"/>
          <w:sz w:val="22"/>
          <w:szCs w:val="24"/>
        </w:rPr>
      </w:pPr>
      <w:r>
        <w:rPr>
          <w:rFonts w:hint="eastAsia" w:ascii="宋体" w:hAnsi="宋体" w:cs="宋体"/>
          <w:sz w:val="22"/>
          <w:szCs w:val="24"/>
        </w:rPr>
        <w:t>二、投标保证金必须按照招标文要求递交。由于转账当天不一定能够达账，为避免因投标保证金未达账而导致投标被拒绝，建议至少提前2个工作日转账。由于每个项目的保证金银行账号不同，请投标人认真按照银行账号缴纳保证金，以免影响投标。</w:t>
      </w:r>
    </w:p>
    <w:p>
      <w:pPr>
        <w:tabs>
          <w:tab w:val="left" w:pos="851"/>
        </w:tabs>
        <w:spacing w:line="460" w:lineRule="exact"/>
        <w:ind w:firstLine="440" w:firstLineChars="200"/>
        <w:rPr>
          <w:rFonts w:hint="eastAsia" w:ascii="宋体" w:hAnsi="宋体" w:cs="宋体"/>
          <w:sz w:val="22"/>
          <w:szCs w:val="24"/>
        </w:rPr>
      </w:pPr>
      <w:r>
        <w:rPr>
          <w:rFonts w:hint="eastAsia" w:ascii="宋体" w:hAnsi="宋体" w:cs="宋体"/>
          <w:sz w:val="22"/>
          <w:szCs w:val="24"/>
        </w:rPr>
        <w:t>三、投标人请注意区分投标保证金及招标代理服务费收款账号的区别，务必将投标保证金按招标文件的要求存入指定的保证金专用账户（开户行及账号由投标人自行登录综合交易系统领取），招标代理服务费存入招标文件指定的服务费账户。切勿将款项转错账户，以免影响投标。</w:t>
      </w:r>
    </w:p>
    <w:p>
      <w:pPr>
        <w:tabs>
          <w:tab w:val="left" w:pos="709"/>
        </w:tabs>
        <w:spacing w:line="460" w:lineRule="exact"/>
        <w:ind w:firstLine="440" w:firstLineChars="200"/>
        <w:rPr>
          <w:rFonts w:ascii="宋体" w:hAnsi="宋体" w:cs="宋体"/>
          <w:sz w:val="22"/>
          <w:szCs w:val="24"/>
        </w:rPr>
      </w:pPr>
      <w:r>
        <w:rPr>
          <w:rFonts w:hint="eastAsia" w:ascii="宋体" w:hAnsi="宋体" w:cs="宋体"/>
          <w:sz w:val="22"/>
          <w:szCs w:val="24"/>
        </w:rPr>
        <w:t>四、请正确填写开标一览表、投标分项报价表。多包组项目请仔细检查包组号，包组号与包组名称必须对应。</w:t>
      </w:r>
    </w:p>
    <w:p>
      <w:pPr>
        <w:tabs>
          <w:tab w:val="left" w:pos="709"/>
        </w:tabs>
        <w:spacing w:line="460" w:lineRule="exact"/>
        <w:ind w:firstLine="440" w:firstLineChars="200"/>
        <w:rPr>
          <w:rFonts w:ascii="宋体" w:hAnsi="宋体" w:cs="宋体"/>
          <w:sz w:val="22"/>
          <w:szCs w:val="24"/>
        </w:rPr>
      </w:pPr>
      <w:r>
        <w:rPr>
          <w:rFonts w:hint="eastAsia" w:ascii="宋体" w:hAnsi="宋体" w:cs="宋体"/>
          <w:sz w:val="22"/>
          <w:szCs w:val="24"/>
        </w:rPr>
        <w:t>五、投标文件应按顺序编制页码（包括证书复印件、合同复印件等也应编制页码）和目录。</w:t>
      </w:r>
    </w:p>
    <w:p>
      <w:pPr>
        <w:tabs>
          <w:tab w:val="left" w:pos="851"/>
        </w:tabs>
        <w:spacing w:line="460" w:lineRule="exact"/>
        <w:ind w:firstLine="440" w:firstLineChars="200"/>
        <w:rPr>
          <w:rFonts w:ascii="宋体" w:hAnsi="宋体" w:cs="宋体"/>
          <w:sz w:val="22"/>
          <w:szCs w:val="24"/>
        </w:rPr>
      </w:pPr>
      <w:r>
        <w:rPr>
          <w:rFonts w:hint="eastAsia" w:ascii="宋体" w:hAnsi="宋体" w:cs="宋体"/>
          <w:sz w:val="22"/>
          <w:szCs w:val="24"/>
        </w:rPr>
        <w:t>六、请仔细检查投标文件是否已按要求签名、盖章、签署日期。</w:t>
      </w:r>
    </w:p>
    <w:p>
      <w:pPr>
        <w:pStyle w:val="140"/>
        <w:tabs>
          <w:tab w:val="left" w:pos="709"/>
        </w:tabs>
        <w:spacing w:line="460" w:lineRule="exact"/>
        <w:ind w:firstLine="440"/>
        <w:jc w:val="left"/>
        <w:rPr>
          <w:rFonts w:ascii="宋体" w:hAnsi="宋体" w:cs="宋体"/>
          <w:sz w:val="22"/>
        </w:rPr>
      </w:pPr>
      <w:r>
        <w:rPr>
          <w:rFonts w:hint="eastAsia" w:ascii="宋体" w:hAnsi="宋体" w:cs="宋体"/>
          <w:sz w:val="22"/>
        </w:rPr>
        <w:t>七、如无另行说明，投标文件递交时间为投标截止时间前30分钟内。</w:t>
      </w:r>
    </w:p>
    <w:p>
      <w:pPr>
        <w:pStyle w:val="140"/>
        <w:tabs>
          <w:tab w:val="left" w:pos="709"/>
        </w:tabs>
        <w:spacing w:line="460" w:lineRule="exact"/>
        <w:ind w:firstLine="440"/>
        <w:jc w:val="left"/>
        <w:rPr>
          <w:rFonts w:ascii="宋体" w:hAnsi="宋体" w:cs="宋体"/>
          <w:sz w:val="22"/>
        </w:rPr>
      </w:pPr>
      <w:r>
        <w:rPr>
          <w:rFonts w:hint="eastAsia" w:ascii="宋体" w:hAnsi="宋体" w:cs="宋体"/>
          <w:sz w:val="22"/>
        </w:rPr>
        <w:t>八、投标截止时间一到，招标代理机构不接收投标人的任何相关报价资料、文件。为此，请适当提前到达。</w:t>
      </w:r>
    </w:p>
    <w:p>
      <w:pPr>
        <w:tabs>
          <w:tab w:val="left" w:pos="851"/>
        </w:tabs>
        <w:spacing w:line="460" w:lineRule="exact"/>
        <w:ind w:firstLine="440" w:firstLineChars="200"/>
        <w:rPr>
          <w:rFonts w:ascii="宋体" w:hAnsi="宋体" w:cs="宋体"/>
          <w:sz w:val="22"/>
          <w:szCs w:val="24"/>
        </w:rPr>
      </w:pPr>
      <w:r>
        <w:rPr>
          <w:rFonts w:hint="eastAsia" w:ascii="宋体" w:hAnsi="宋体" w:cs="宋体"/>
          <w:sz w:val="22"/>
          <w:szCs w:val="24"/>
        </w:rPr>
        <w:t>九、具体开标室详见开标当天中山市公共资源交易中心D区LED大屏幕安排。</w:t>
      </w:r>
    </w:p>
    <w:p>
      <w:pPr>
        <w:tabs>
          <w:tab w:val="left" w:pos="851"/>
        </w:tabs>
        <w:spacing w:line="460" w:lineRule="exact"/>
        <w:ind w:firstLine="440" w:firstLineChars="200"/>
        <w:rPr>
          <w:rFonts w:ascii="宋体" w:hAnsi="宋体" w:cs="宋体"/>
          <w:sz w:val="22"/>
          <w:szCs w:val="24"/>
        </w:rPr>
      </w:pPr>
      <w:r>
        <w:rPr>
          <w:rFonts w:hint="eastAsia" w:ascii="宋体" w:hAnsi="宋体" w:cs="宋体"/>
          <w:sz w:val="22"/>
          <w:szCs w:val="24"/>
        </w:rPr>
        <w:t>十、由于开标现场须投标人在中山市公共资源交易网进行网上签到，</w:t>
      </w:r>
      <w:r>
        <w:rPr>
          <w:rFonts w:hint="eastAsia" w:ascii="宋体" w:hAnsi="宋体" w:cs="宋体"/>
          <w:b/>
          <w:sz w:val="22"/>
          <w:szCs w:val="24"/>
        </w:rPr>
        <w:t>请投标人于投标时携带企业数字证书进行网上签到或由投标人登记备案时录入指纹的人员进行指纹签到或身份证签到</w:t>
      </w:r>
      <w:r>
        <w:rPr>
          <w:rFonts w:hint="eastAsia" w:ascii="宋体" w:hAnsi="宋体" w:cs="宋体"/>
          <w:sz w:val="22"/>
          <w:szCs w:val="24"/>
        </w:rPr>
        <w:t>。（为确保签到顺利，建议投标人携带企业数字证书进行签到）</w:t>
      </w:r>
    </w:p>
    <w:p>
      <w:pPr>
        <w:tabs>
          <w:tab w:val="left" w:pos="851"/>
        </w:tabs>
        <w:spacing w:line="460" w:lineRule="exact"/>
        <w:ind w:firstLine="480" w:firstLineChars="200"/>
        <w:rPr>
          <w:b/>
          <w:bCs/>
          <w:szCs w:val="21"/>
        </w:rPr>
      </w:pPr>
      <w:r>
        <w:rPr>
          <w:rFonts w:hint="eastAsia" w:ascii="宋体" w:hAnsi="宋体" w:cs="宋体"/>
          <w:sz w:val="24"/>
          <w:szCs w:val="24"/>
        </w:rPr>
        <w:t>十一、</w:t>
      </w:r>
      <w:r>
        <w:rPr>
          <w:rFonts w:hint="eastAsia" w:ascii="宋体" w:hAnsi="宋体" w:cs="宋体"/>
          <w:sz w:val="22"/>
          <w:szCs w:val="22"/>
        </w:rPr>
        <w:t>为了提高招标工作效率，节约社会交易成本与时间，已报名而决定不参加本次投标的投标人，请于投标文件递交截止时间的3日前，按《投标邀请函》中的联系方式，以书面形式告知招标代理机构。对您的支持与配合，谨此致谢。</w:t>
      </w:r>
    </w:p>
    <w:bookmarkEnd w:id="0"/>
    <w:p>
      <w:pPr>
        <w:tabs>
          <w:tab w:val="left" w:pos="709"/>
        </w:tabs>
        <w:spacing w:line="360" w:lineRule="auto"/>
        <w:ind w:left="420" w:hanging="420" w:hangingChars="200"/>
        <w:rPr>
          <w:szCs w:val="21"/>
        </w:rPr>
      </w:pPr>
    </w:p>
    <w:p>
      <w:pPr>
        <w:tabs>
          <w:tab w:val="left" w:pos="1190"/>
        </w:tabs>
        <w:spacing w:line="360" w:lineRule="auto"/>
        <w:ind w:left="1176"/>
        <w:rPr>
          <w:rStyle w:val="52"/>
          <w:b/>
          <w:szCs w:val="28"/>
        </w:rPr>
      </w:pPr>
      <w:r>
        <w:rPr>
          <w:szCs w:val="21"/>
        </w:rPr>
        <w:br w:type="page"/>
      </w:r>
    </w:p>
    <w:p>
      <w:pPr>
        <w:rPr>
          <w:b/>
          <w:bCs/>
          <w:sz w:val="30"/>
          <w:szCs w:val="30"/>
        </w:rPr>
      </w:pPr>
    </w:p>
    <w:p>
      <w:pPr>
        <w:jc w:val="center"/>
        <w:rPr>
          <w:rFonts w:eastAsia="楷体_GB2312"/>
          <w:b/>
          <w:spacing w:val="200"/>
          <w:sz w:val="44"/>
          <w:szCs w:val="44"/>
        </w:rPr>
      </w:pPr>
      <w:r>
        <w:rPr>
          <w:rFonts w:eastAsia="楷体_GB2312"/>
          <w:b/>
          <w:spacing w:val="200"/>
          <w:sz w:val="44"/>
          <w:szCs w:val="44"/>
        </w:rPr>
        <w:t>目  录</w:t>
      </w:r>
    </w:p>
    <w:p>
      <w:pPr>
        <w:jc w:val="center"/>
        <w:rPr>
          <w:rFonts w:eastAsia="楷体_GB2312"/>
          <w:b/>
          <w:spacing w:val="200"/>
          <w:sz w:val="44"/>
          <w:szCs w:val="44"/>
        </w:rPr>
      </w:pPr>
    </w:p>
    <w:p>
      <w:pPr>
        <w:pStyle w:val="33"/>
        <w:tabs>
          <w:tab w:val="right" w:leader="dot" w:pos="9537"/>
          <w:tab w:val="clear" w:pos="9499"/>
        </w:tabs>
        <w:rPr>
          <w:rFonts w:ascii="Times New Roman" w:hAnsi="Times New Roman"/>
          <w:color w:val="auto"/>
        </w:rPr>
      </w:pPr>
      <w:bookmarkStart w:id="1" w:name="_Toc527295591"/>
      <w:r>
        <w:rPr>
          <w:rFonts w:ascii="Times New Roman" w:hAnsi="Times New Roman"/>
          <w:color w:val="auto"/>
        </w:rPr>
        <w:fldChar w:fldCharType="begin"/>
      </w:r>
      <w:r>
        <w:rPr>
          <w:rFonts w:ascii="Times New Roman" w:hAnsi="Times New Roman"/>
          <w:color w:val="auto"/>
        </w:rPr>
        <w:instrText xml:space="preserve"> TOC \h \z \t "标题 1,2,标题 2,3,标题 3,5,标题 3 + 宋体,4,标题1,1" </w:instrText>
      </w:r>
      <w:r>
        <w:rPr>
          <w:rFonts w:ascii="Times New Roman" w:hAnsi="Times New Roman"/>
          <w:color w:val="auto"/>
        </w:rPr>
        <w:fldChar w:fldCharType="separate"/>
      </w:r>
      <w:r>
        <w:fldChar w:fldCharType="begin"/>
      </w:r>
      <w:r>
        <w:instrText xml:space="preserve"> HYPERLINK \l "_Toc23788" </w:instrText>
      </w:r>
      <w:r>
        <w:fldChar w:fldCharType="separate"/>
      </w:r>
      <w:r>
        <w:rPr>
          <w:rFonts w:ascii="Times New Roman" w:hAnsi="Times New Roman"/>
          <w:color w:val="auto"/>
        </w:rPr>
        <w:t>第一部分   投 标 邀 请 函</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_Toc23788 </w:instrText>
      </w:r>
      <w:r>
        <w:rPr>
          <w:rFonts w:ascii="Times New Roman" w:hAnsi="Times New Roman"/>
          <w:color w:val="auto"/>
        </w:rPr>
        <w:fldChar w:fldCharType="separate"/>
      </w:r>
      <w:r>
        <w:rPr>
          <w:rFonts w:ascii="Times New Roman" w:hAnsi="Times New Roman"/>
          <w:color w:val="auto"/>
        </w:rPr>
        <w:t>4</w:t>
      </w:r>
      <w:r>
        <w:rPr>
          <w:rFonts w:ascii="Times New Roman" w:hAnsi="Times New Roman"/>
          <w:color w:val="auto"/>
        </w:rPr>
        <w:fldChar w:fldCharType="end"/>
      </w:r>
      <w:r>
        <w:rPr>
          <w:rFonts w:ascii="Times New Roman" w:hAnsi="Times New Roman"/>
          <w:color w:val="auto"/>
        </w:rPr>
        <w:fldChar w:fldCharType="end"/>
      </w:r>
    </w:p>
    <w:p>
      <w:pPr>
        <w:pStyle w:val="33"/>
        <w:tabs>
          <w:tab w:val="right" w:leader="dot" w:pos="9537"/>
          <w:tab w:val="clear" w:pos="9499"/>
        </w:tabs>
        <w:rPr>
          <w:rFonts w:ascii="Times New Roman" w:hAnsi="Times New Roman"/>
          <w:color w:val="auto"/>
        </w:rPr>
      </w:pPr>
      <w:r>
        <w:fldChar w:fldCharType="begin"/>
      </w:r>
      <w:r>
        <w:instrText xml:space="preserve"> HYPERLINK \l "_Toc9244" </w:instrText>
      </w:r>
      <w:r>
        <w:fldChar w:fldCharType="separate"/>
      </w:r>
      <w:r>
        <w:rPr>
          <w:rFonts w:ascii="Times New Roman" w:hAnsi="Times New Roman"/>
          <w:color w:val="auto"/>
        </w:rPr>
        <w:t>第二部分   用 户 需 求 书</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_Toc9244 </w:instrText>
      </w:r>
      <w:r>
        <w:rPr>
          <w:rFonts w:ascii="Times New Roman" w:hAnsi="Times New Roman"/>
          <w:color w:val="auto"/>
        </w:rPr>
        <w:fldChar w:fldCharType="separate"/>
      </w:r>
      <w:r>
        <w:rPr>
          <w:rFonts w:ascii="Times New Roman" w:hAnsi="Times New Roman"/>
          <w:color w:val="auto"/>
        </w:rPr>
        <w:t>8</w:t>
      </w:r>
      <w:r>
        <w:rPr>
          <w:rFonts w:ascii="Times New Roman" w:hAnsi="Times New Roman"/>
          <w:color w:val="auto"/>
        </w:rPr>
        <w:fldChar w:fldCharType="end"/>
      </w:r>
      <w:r>
        <w:rPr>
          <w:rFonts w:ascii="Times New Roman" w:hAnsi="Times New Roman"/>
          <w:color w:val="auto"/>
        </w:rPr>
        <w:fldChar w:fldCharType="end"/>
      </w:r>
    </w:p>
    <w:p>
      <w:pPr>
        <w:pStyle w:val="33"/>
        <w:tabs>
          <w:tab w:val="right" w:leader="dot" w:pos="9537"/>
          <w:tab w:val="clear" w:pos="9499"/>
        </w:tabs>
        <w:rPr>
          <w:rFonts w:ascii="Times New Roman" w:hAnsi="Times New Roman"/>
          <w:color w:val="auto"/>
        </w:rPr>
      </w:pPr>
      <w:r>
        <w:fldChar w:fldCharType="begin"/>
      </w:r>
      <w:r>
        <w:instrText xml:space="preserve"> HYPERLINK \l "_Toc20498" </w:instrText>
      </w:r>
      <w:r>
        <w:fldChar w:fldCharType="separate"/>
      </w:r>
      <w:r>
        <w:rPr>
          <w:rFonts w:ascii="Times New Roman" w:hAnsi="Times New Roman"/>
          <w:color w:val="auto"/>
        </w:rPr>
        <w:t>第三部分   投 标 人 须 知</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_Toc20498 </w:instrText>
      </w:r>
      <w:r>
        <w:rPr>
          <w:rFonts w:ascii="Times New Roman" w:hAnsi="Times New Roman"/>
          <w:color w:val="auto"/>
        </w:rPr>
        <w:fldChar w:fldCharType="separate"/>
      </w:r>
      <w:r>
        <w:rPr>
          <w:rFonts w:ascii="Times New Roman" w:hAnsi="Times New Roman"/>
          <w:color w:val="auto"/>
        </w:rPr>
        <w:t>12</w:t>
      </w:r>
      <w:r>
        <w:rPr>
          <w:rFonts w:ascii="Times New Roman" w:hAnsi="Times New Roman"/>
          <w:color w:val="auto"/>
        </w:rPr>
        <w:fldChar w:fldCharType="end"/>
      </w:r>
      <w:r>
        <w:rPr>
          <w:rFonts w:ascii="Times New Roman" w:hAnsi="Times New Roman"/>
          <w:color w:val="auto"/>
        </w:rPr>
        <w:fldChar w:fldCharType="end"/>
      </w:r>
    </w:p>
    <w:p>
      <w:pPr>
        <w:pStyle w:val="33"/>
        <w:tabs>
          <w:tab w:val="right" w:leader="dot" w:pos="9537"/>
          <w:tab w:val="clear" w:pos="9499"/>
        </w:tabs>
        <w:rPr>
          <w:rFonts w:ascii="Times New Roman" w:hAnsi="Times New Roman"/>
          <w:color w:val="auto"/>
        </w:rPr>
      </w:pPr>
      <w:r>
        <w:fldChar w:fldCharType="begin"/>
      </w:r>
      <w:r>
        <w:instrText xml:space="preserve"> HYPERLINK \l "_Toc7485" </w:instrText>
      </w:r>
      <w:r>
        <w:fldChar w:fldCharType="separate"/>
      </w:r>
      <w:r>
        <w:rPr>
          <w:rFonts w:ascii="Times New Roman" w:hAnsi="Times New Roman"/>
          <w:color w:val="auto"/>
        </w:rPr>
        <w:t>第四部分   合 同 书 格 式</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_Toc7485 </w:instrText>
      </w:r>
      <w:r>
        <w:rPr>
          <w:rFonts w:ascii="Times New Roman" w:hAnsi="Times New Roman"/>
          <w:color w:val="auto"/>
        </w:rPr>
        <w:fldChar w:fldCharType="separate"/>
      </w:r>
      <w:r>
        <w:rPr>
          <w:rFonts w:ascii="Times New Roman" w:hAnsi="Times New Roman"/>
          <w:color w:val="auto"/>
        </w:rPr>
        <w:t>29</w:t>
      </w:r>
      <w:r>
        <w:rPr>
          <w:rFonts w:ascii="Times New Roman" w:hAnsi="Times New Roman"/>
          <w:color w:val="auto"/>
        </w:rPr>
        <w:fldChar w:fldCharType="end"/>
      </w:r>
      <w:r>
        <w:rPr>
          <w:rFonts w:ascii="Times New Roman" w:hAnsi="Times New Roman"/>
          <w:color w:val="auto"/>
        </w:rPr>
        <w:fldChar w:fldCharType="end"/>
      </w:r>
    </w:p>
    <w:p>
      <w:pPr>
        <w:pStyle w:val="33"/>
        <w:tabs>
          <w:tab w:val="right" w:leader="dot" w:pos="9537"/>
          <w:tab w:val="clear" w:pos="9499"/>
        </w:tabs>
        <w:rPr>
          <w:rFonts w:hint="eastAsia" w:ascii="Times New Roman" w:hAnsi="Times New Roman" w:eastAsia="宋体"/>
          <w:color w:val="auto"/>
          <w:lang w:val="en-US" w:eastAsia="zh-CN"/>
        </w:rPr>
      </w:pPr>
      <w:r>
        <w:fldChar w:fldCharType="begin"/>
      </w:r>
      <w:r>
        <w:instrText xml:space="preserve"> HYPERLINK \l "_Toc32154" </w:instrText>
      </w:r>
      <w:r>
        <w:fldChar w:fldCharType="separate"/>
      </w:r>
      <w:r>
        <w:rPr>
          <w:rFonts w:ascii="Times New Roman" w:hAnsi="Times New Roman"/>
          <w:color w:val="auto"/>
        </w:rPr>
        <w:t>第五部分   投标文件格式</w:t>
      </w:r>
      <w:r>
        <w:rPr>
          <w:rFonts w:ascii="Times New Roman" w:hAnsi="Times New Roman"/>
          <w:color w:val="auto"/>
        </w:rPr>
        <w:tab/>
      </w:r>
      <w:r>
        <w:rPr>
          <w:rFonts w:hint="eastAsia" w:ascii="Times New Roman" w:hAnsi="Times New Roman"/>
          <w:color w:val="auto"/>
          <w:lang w:val="en-US" w:eastAsia="zh-CN"/>
        </w:rPr>
        <w:t>3</w:t>
      </w:r>
      <w:r>
        <w:rPr>
          <w:rFonts w:ascii="Times New Roman" w:hAnsi="Times New Roman"/>
          <w:color w:val="auto"/>
        </w:rPr>
        <w:fldChar w:fldCharType="end"/>
      </w:r>
      <w:r>
        <w:rPr>
          <w:rFonts w:hint="eastAsia" w:ascii="Times New Roman" w:hAnsi="Times New Roman"/>
          <w:color w:val="auto"/>
          <w:lang w:val="en-US" w:eastAsia="zh-CN"/>
        </w:rPr>
        <w:t>7</w:t>
      </w:r>
    </w:p>
    <w:p>
      <w:pPr>
        <w:pStyle w:val="33"/>
        <w:tabs>
          <w:tab w:val="right" w:leader="dot" w:pos="9537"/>
          <w:tab w:val="clear" w:pos="9499"/>
        </w:tabs>
        <w:rPr>
          <w:rFonts w:ascii="Times New Roman" w:hAnsi="Times New Roman"/>
          <w:color w:val="auto"/>
        </w:rPr>
      </w:pPr>
      <w:r>
        <w:rPr>
          <w:rFonts w:ascii="Times New Roman" w:hAnsi="Times New Roman"/>
          <w:color w:val="auto"/>
        </w:rPr>
        <w:t xml:space="preserve">           </w:t>
      </w:r>
      <w:r>
        <w:fldChar w:fldCharType="begin"/>
      </w:r>
      <w:r>
        <w:instrText xml:space="preserve"> HYPERLINK \l "_Toc13837" </w:instrText>
      </w:r>
      <w:r>
        <w:fldChar w:fldCharType="separate"/>
      </w:r>
      <w:r>
        <w:rPr>
          <w:rFonts w:ascii="Times New Roman" w:hAnsi="Times New Roman"/>
          <w:color w:val="auto"/>
        </w:rPr>
        <w:t xml:space="preserve">商 务 </w:t>
      </w:r>
      <w:r>
        <w:rPr>
          <w:rFonts w:hint="eastAsia" w:ascii="Times New Roman" w:hAnsi="Times New Roman"/>
          <w:color w:val="auto"/>
        </w:rPr>
        <w:t>技术</w:t>
      </w:r>
      <w:r>
        <w:rPr>
          <w:rFonts w:ascii="Times New Roman" w:hAnsi="Times New Roman"/>
          <w:color w:val="auto"/>
        </w:rPr>
        <w:t>篇</w:t>
      </w:r>
      <w:r>
        <w:rPr>
          <w:rFonts w:ascii="Times New Roman" w:hAnsi="Times New Roman"/>
          <w:color w:val="auto"/>
        </w:rPr>
        <w:tab/>
      </w:r>
      <w:r>
        <w:rPr>
          <w:rFonts w:ascii="Times New Roman" w:hAnsi="Times New Roman"/>
          <w:color w:val="auto"/>
        </w:rPr>
        <w:fldChar w:fldCharType="end"/>
      </w:r>
      <w:r>
        <w:rPr>
          <w:rFonts w:ascii="Times New Roman" w:hAnsi="Times New Roman"/>
          <w:color w:val="auto"/>
        </w:rPr>
        <w:t xml:space="preserve">          </w:t>
      </w:r>
    </w:p>
    <w:p>
      <w:pPr>
        <w:pStyle w:val="24"/>
        <w:spacing w:line="360" w:lineRule="exact"/>
        <w:ind w:left="210" w:leftChars="50" w:right="105" w:rightChars="50"/>
        <w:rPr>
          <w:rFonts w:eastAsia="仿宋_GB2312"/>
          <w:szCs w:val="21"/>
        </w:rPr>
      </w:pPr>
      <w:r>
        <w:rPr>
          <w:szCs w:val="21"/>
        </w:rPr>
        <w:fldChar w:fldCharType="end"/>
      </w:r>
      <w:bookmarkEnd w:id="1"/>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bookmarkStart w:id="2" w:name="_Toc23788"/>
    </w:p>
    <w:p>
      <w:pPr>
        <w:pStyle w:val="99"/>
        <w:rPr>
          <w:rFonts w:ascii="Times New Roman"/>
        </w:rPr>
      </w:pPr>
    </w:p>
    <w:p>
      <w:pPr>
        <w:pStyle w:val="99"/>
        <w:rPr>
          <w:rFonts w:ascii="Times New Roman"/>
        </w:rPr>
      </w:pPr>
      <w:r>
        <w:rPr>
          <w:rFonts w:ascii="Times New Roman"/>
        </w:rPr>
        <w:t>第一部分   投 标 邀 请 函</w:t>
      </w:r>
      <w:bookmarkEnd w:id="2"/>
    </w:p>
    <w:p>
      <w:pPr>
        <w:adjustRightInd w:val="0"/>
        <w:snapToGrid w:val="0"/>
        <w:spacing w:line="360" w:lineRule="auto"/>
        <w:jc w:val="center"/>
        <w:rPr>
          <w:b/>
          <w:kern w:val="28"/>
          <w:szCs w:val="21"/>
        </w:rPr>
      </w:pPr>
      <w:r>
        <w:rPr>
          <w:sz w:val="24"/>
        </w:rPr>
        <w:br w:type="page"/>
      </w:r>
      <w:r>
        <w:rPr>
          <w:b/>
          <w:kern w:val="28"/>
          <w:sz w:val="32"/>
        </w:rPr>
        <w:t>投 标 邀 请 函</w:t>
      </w:r>
    </w:p>
    <w:p>
      <w:pPr>
        <w:spacing w:line="460" w:lineRule="exact"/>
        <w:ind w:firstLine="527" w:firstLineChars="250"/>
        <w:rPr>
          <w:rFonts w:hint="eastAsia" w:asciiTheme="minorEastAsia" w:hAnsiTheme="minorEastAsia" w:eastAsiaTheme="minorEastAsia" w:cstheme="minorEastAsia"/>
          <w:kern w:val="28"/>
          <w:sz w:val="21"/>
          <w:szCs w:val="21"/>
        </w:rPr>
      </w:pPr>
      <w:bookmarkStart w:id="95" w:name="_GoBack"/>
      <w:bookmarkEnd w:id="95"/>
      <w:r>
        <w:rPr>
          <w:rFonts w:hint="eastAsia" w:asciiTheme="minorEastAsia" w:hAnsiTheme="minorEastAsia" w:eastAsiaTheme="minorEastAsia" w:cstheme="minorEastAsia"/>
          <w:b/>
          <w:kern w:val="28"/>
          <w:sz w:val="21"/>
          <w:szCs w:val="21"/>
          <w:lang w:eastAsia="zh-CN"/>
        </w:rPr>
        <w:t>华联世纪工程咨询股份有限公司中山分公司</w:t>
      </w:r>
      <w:r>
        <w:rPr>
          <w:rFonts w:hint="eastAsia" w:asciiTheme="minorEastAsia" w:hAnsiTheme="minorEastAsia" w:eastAsiaTheme="minorEastAsia" w:cstheme="minorEastAsia"/>
          <w:kern w:val="28"/>
          <w:sz w:val="21"/>
          <w:szCs w:val="21"/>
        </w:rPr>
        <w:t>（以下简称“招标代理机构”）受</w:t>
      </w:r>
      <w:r>
        <w:rPr>
          <w:rFonts w:hint="eastAsia" w:asciiTheme="minorEastAsia" w:hAnsiTheme="minorEastAsia" w:eastAsiaTheme="minorEastAsia" w:cstheme="minorEastAsia"/>
          <w:b/>
          <w:kern w:val="28"/>
          <w:sz w:val="21"/>
          <w:szCs w:val="21"/>
        </w:rPr>
        <w:t>中山市坦洲镇污水处理有限公司</w:t>
      </w:r>
      <w:r>
        <w:rPr>
          <w:rFonts w:hint="eastAsia" w:asciiTheme="minorEastAsia" w:hAnsiTheme="minorEastAsia" w:eastAsiaTheme="minorEastAsia" w:cstheme="minorEastAsia"/>
          <w:kern w:val="28"/>
          <w:sz w:val="21"/>
          <w:szCs w:val="21"/>
        </w:rPr>
        <w:t>（以下简称“招标人”）的委托</w:t>
      </w:r>
      <w:r>
        <w:rPr>
          <w:rFonts w:hint="eastAsia" w:asciiTheme="minorEastAsia" w:hAnsiTheme="minorEastAsia" w:eastAsiaTheme="minorEastAsia" w:cstheme="minorEastAsia"/>
          <w:sz w:val="21"/>
          <w:szCs w:val="21"/>
        </w:rPr>
        <w:t>，组织</w:t>
      </w:r>
      <w:r>
        <w:rPr>
          <w:rFonts w:hint="eastAsia" w:asciiTheme="minorEastAsia" w:hAnsiTheme="minorEastAsia" w:eastAsiaTheme="minorEastAsia" w:cstheme="minorEastAsia"/>
          <w:b/>
          <w:kern w:val="28"/>
          <w:sz w:val="21"/>
          <w:szCs w:val="21"/>
        </w:rPr>
        <w:t>坦洲镇污水处理厂消毒剂采购项目</w:t>
      </w:r>
      <w:r>
        <w:rPr>
          <w:rFonts w:hint="eastAsia" w:asciiTheme="minorEastAsia" w:hAnsiTheme="minorEastAsia" w:eastAsiaTheme="minorEastAsia" w:cstheme="minorEastAsia"/>
          <w:kern w:val="28"/>
          <w:sz w:val="21"/>
          <w:szCs w:val="21"/>
        </w:rPr>
        <w:t>进行</w:t>
      </w:r>
      <w:r>
        <w:rPr>
          <w:rFonts w:hint="eastAsia" w:asciiTheme="minorEastAsia" w:hAnsiTheme="minorEastAsia" w:eastAsiaTheme="minorEastAsia" w:cstheme="minorEastAsia"/>
          <w:sz w:val="21"/>
          <w:szCs w:val="21"/>
        </w:rPr>
        <w:t>公开招标。</w:t>
      </w:r>
      <w:r>
        <w:rPr>
          <w:rFonts w:hint="eastAsia" w:asciiTheme="minorEastAsia" w:hAnsiTheme="minorEastAsia" w:eastAsiaTheme="minorEastAsia" w:cstheme="minorEastAsia"/>
          <w:kern w:val="28"/>
          <w:sz w:val="21"/>
          <w:szCs w:val="21"/>
        </w:rPr>
        <w:t>欢迎符合资格条件的潜在投标人投标。</w:t>
      </w:r>
    </w:p>
    <w:p>
      <w:pPr>
        <w:numPr>
          <w:ilvl w:val="0"/>
          <w:numId w:val="9"/>
        </w:numPr>
        <w:tabs>
          <w:tab w:val="left" w:pos="530"/>
          <w:tab w:val="clear" w:pos="420"/>
        </w:tabs>
        <w:spacing w:line="460" w:lineRule="exact"/>
        <w:ind w:left="530" w:hanging="53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招标编号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HLSJZSCG-20181229</w:t>
      </w:r>
      <w:r>
        <w:rPr>
          <w:rFonts w:hint="eastAsia" w:asciiTheme="minorEastAsia" w:hAnsiTheme="minorEastAsia" w:eastAsiaTheme="minorEastAsia" w:cstheme="minorEastAsia"/>
          <w:sz w:val="21"/>
          <w:szCs w:val="21"/>
        </w:rPr>
        <w:t>；</w:t>
      </w:r>
    </w:p>
    <w:p>
      <w:pPr>
        <w:numPr>
          <w:ilvl w:val="0"/>
          <w:numId w:val="9"/>
        </w:numPr>
        <w:tabs>
          <w:tab w:val="left" w:pos="530"/>
          <w:tab w:val="clear" w:pos="420"/>
        </w:tabs>
        <w:spacing w:line="460" w:lineRule="exact"/>
        <w:ind w:left="530" w:hanging="53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r>
        <w:rPr>
          <w:rFonts w:hint="eastAsia" w:asciiTheme="minorEastAsia" w:hAnsiTheme="minorEastAsia" w:eastAsiaTheme="minorEastAsia" w:cstheme="minorEastAsia"/>
          <w:sz w:val="21"/>
          <w:szCs w:val="21"/>
        </w:rPr>
        <w:t>坦洲镇污水处理厂消毒剂采购项目</w:t>
      </w:r>
      <w:r>
        <w:rPr>
          <w:rFonts w:hint="eastAsia" w:asciiTheme="minorEastAsia" w:hAnsiTheme="minorEastAsia" w:eastAsiaTheme="minorEastAsia" w:cstheme="minorEastAsia"/>
          <w:b/>
          <w:sz w:val="21"/>
          <w:szCs w:val="21"/>
        </w:rPr>
        <w:t>；</w:t>
      </w:r>
    </w:p>
    <w:p>
      <w:pPr>
        <w:numPr>
          <w:ilvl w:val="0"/>
          <w:numId w:val="9"/>
        </w:numPr>
        <w:tabs>
          <w:tab w:val="left" w:pos="530"/>
          <w:tab w:val="clear" w:pos="420"/>
        </w:tabs>
        <w:spacing w:line="460" w:lineRule="exact"/>
        <w:ind w:left="530" w:hanging="53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招标预算</w:t>
      </w:r>
      <w:r>
        <w:rPr>
          <w:rFonts w:hint="eastAsia" w:asciiTheme="minorEastAsia" w:hAnsiTheme="minorEastAsia" w:eastAsiaTheme="minorEastAsia" w:cstheme="minorEastAsia"/>
          <w:b/>
          <w:kern w:val="28"/>
          <w:sz w:val="21"/>
          <w:szCs w:val="21"/>
        </w:rPr>
        <w:t>：</w:t>
      </w:r>
      <w:r>
        <w:rPr>
          <w:rFonts w:hint="eastAsia" w:asciiTheme="minorEastAsia" w:hAnsiTheme="minorEastAsia" w:eastAsiaTheme="minorEastAsia" w:cstheme="minorEastAsia"/>
          <w:kern w:val="28"/>
          <w:sz w:val="21"/>
          <w:szCs w:val="21"/>
          <w:lang w:val="en-US" w:eastAsia="zh-CN"/>
        </w:rPr>
        <w:t>1944000</w:t>
      </w:r>
      <w:r>
        <w:rPr>
          <w:rFonts w:hint="eastAsia" w:asciiTheme="minorEastAsia" w:hAnsiTheme="minorEastAsia" w:eastAsiaTheme="minorEastAsia" w:cstheme="minorEastAsia"/>
          <w:kern w:val="28"/>
          <w:sz w:val="21"/>
          <w:szCs w:val="21"/>
        </w:rPr>
        <w:t>元（人民币：</w:t>
      </w:r>
      <w:r>
        <w:rPr>
          <w:rFonts w:hint="eastAsia" w:asciiTheme="minorEastAsia" w:hAnsiTheme="minorEastAsia" w:eastAsiaTheme="minorEastAsia" w:cstheme="minorEastAsia"/>
          <w:kern w:val="28"/>
          <w:sz w:val="21"/>
          <w:szCs w:val="21"/>
          <w:lang w:eastAsia="zh-CN"/>
        </w:rPr>
        <w:t>壹佰玖拾肆万肆仟</w:t>
      </w:r>
      <w:r>
        <w:rPr>
          <w:rFonts w:hint="eastAsia" w:asciiTheme="minorEastAsia" w:hAnsiTheme="minorEastAsia" w:eastAsiaTheme="minorEastAsia" w:cstheme="minorEastAsia"/>
          <w:kern w:val="28"/>
          <w:sz w:val="21"/>
          <w:szCs w:val="21"/>
        </w:rPr>
        <w:t>元整），</w:t>
      </w:r>
      <w:r>
        <w:rPr>
          <w:rFonts w:hint="eastAsia" w:asciiTheme="minorEastAsia" w:hAnsiTheme="minorEastAsia" w:eastAsiaTheme="minorEastAsia" w:cstheme="minorEastAsia"/>
          <w:b/>
          <w:bCs/>
          <w:kern w:val="28"/>
          <w:sz w:val="21"/>
          <w:szCs w:val="21"/>
        </w:rPr>
        <w:t>资金来源：</w:t>
      </w:r>
      <w:r>
        <w:rPr>
          <w:rFonts w:hint="eastAsia" w:asciiTheme="minorEastAsia" w:hAnsiTheme="minorEastAsia" w:eastAsiaTheme="minorEastAsia" w:cstheme="minorEastAsia"/>
          <w:kern w:val="28"/>
          <w:sz w:val="21"/>
          <w:szCs w:val="21"/>
          <w:lang w:eastAsia="zh-CN"/>
        </w:rPr>
        <w:t>单位</w:t>
      </w:r>
      <w:r>
        <w:rPr>
          <w:rFonts w:hint="eastAsia" w:asciiTheme="minorEastAsia" w:hAnsiTheme="minorEastAsia" w:eastAsiaTheme="minorEastAsia" w:cstheme="minorEastAsia"/>
          <w:kern w:val="28"/>
          <w:sz w:val="21"/>
          <w:szCs w:val="21"/>
        </w:rPr>
        <w:t>自筹；</w:t>
      </w:r>
    </w:p>
    <w:p>
      <w:pPr>
        <w:numPr>
          <w:ilvl w:val="0"/>
          <w:numId w:val="9"/>
        </w:numPr>
        <w:tabs>
          <w:tab w:val="left" w:pos="530"/>
        </w:tabs>
        <w:spacing w:line="46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kern w:val="28"/>
          <w:sz w:val="21"/>
          <w:szCs w:val="21"/>
        </w:rPr>
        <w:t>招标数量</w:t>
      </w:r>
      <w:r>
        <w:rPr>
          <w:rFonts w:hint="eastAsia" w:asciiTheme="minorEastAsia" w:hAnsiTheme="minorEastAsia" w:eastAsiaTheme="minorEastAsia" w:cstheme="minorEastAsia"/>
          <w:kern w:val="28"/>
          <w:sz w:val="21"/>
          <w:szCs w:val="21"/>
        </w:rPr>
        <w:t>：</w:t>
      </w:r>
      <w:r>
        <w:rPr>
          <w:rFonts w:hint="eastAsia" w:asciiTheme="minorEastAsia" w:hAnsiTheme="minorEastAsia" w:eastAsiaTheme="minorEastAsia" w:cstheme="minorEastAsia"/>
          <w:color w:val="000000"/>
          <w:kern w:val="28"/>
          <w:sz w:val="21"/>
          <w:szCs w:val="21"/>
        </w:rPr>
        <w:t>过一硫酸氢钾（</w:t>
      </w:r>
      <w:r>
        <w:rPr>
          <w:rFonts w:hint="eastAsia" w:asciiTheme="minorEastAsia" w:hAnsiTheme="minorEastAsia" w:eastAsiaTheme="minorEastAsia" w:cstheme="minorEastAsia"/>
          <w:color w:val="000000"/>
          <w:sz w:val="21"/>
          <w:szCs w:val="21"/>
        </w:rPr>
        <w:t>单过硫酸氢钾</w:t>
      </w:r>
      <w:r>
        <w:rPr>
          <w:rFonts w:hint="eastAsia" w:asciiTheme="minorEastAsia" w:hAnsiTheme="minorEastAsia" w:eastAsiaTheme="minorEastAsia" w:cstheme="minorEastAsia"/>
          <w:color w:val="000000"/>
          <w:kern w:val="28"/>
          <w:sz w:val="21"/>
          <w:szCs w:val="21"/>
        </w:rPr>
        <w:t>）</w:t>
      </w:r>
      <w:r>
        <w:rPr>
          <w:rFonts w:hint="eastAsia" w:asciiTheme="minorEastAsia" w:hAnsiTheme="minorEastAsia" w:eastAsiaTheme="minorEastAsia" w:cstheme="minorEastAsia"/>
          <w:sz w:val="21"/>
          <w:szCs w:val="21"/>
        </w:rPr>
        <w:t>复合杀菌剂</w:t>
      </w:r>
      <w:r>
        <w:rPr>
          <w:rFonts w:hint="eastAsia" w:asciiTheme="minorEastAsia" w:hAnsiTheme="minorEastAsia" w:eastAsiaTheme="minorEastAsia" w:cstheme="minorEastAsia"/>
          <w:sz w:val="21"/>
          <w:szCs w:val="21"/>
          <w:lang w:val="en-US" w:eastAsia="zh-CN"/>
        </w:rPr>
        <w:t>38.88</w:t>
      </w:r>
      <w:r>
        <w:rPr>
          <w:rFonts w:hint="eastAsia" w:asciiTheme="minorEastAsia" w:hAnsiTheme="minorEastAsia" w:eastAsiaTheme="minorEastAsia" w:cstheme="minorEastAsia"/>
          <w:sz w:val="21"/>
          <w:szCs w:val="21"/>
        </w:rPr>
        <w:t>吨。</w:t>
      </w:r>
    </w:p>
    <w:p>
      <w:pPr>
        <w:numPr>
          <w:ilvl w:val="0"/>
          <w:numId w:val="9"/>
        </w:numPr>
        <w:tabs>
          <w:tab w:val="left" w:pos="530"/>
          <w:tab w:val="clear" w:pos="420"/>
        </w:tabs>
        <w:spacing w:line="460" w:lineRule="exact"/>
        <w:ind w:left="530" w:hanging="53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项目内容及需求：</w:t>
      </w:r>
    </w:p>
    <w:p>
      <w:pPr>
        <w:numPr>
          <w:ilvl w:val="0"/>
          <w:numId w:val="10"/>
        </w:numPr>
        <w:tabs>
          <w:tab w:val="left" w:pos="530"/>
          <w:tab w:val="clear" w:pos="540"/>
        </w:tabs>
        <w:spacing w:line="460" w:lineRule="exact"/>
        <w:ind w:left="530" w:hanging="42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项目内容：详见招标文件第二部分“用户需求书”的内容。</w:t>
      </w:r>
    </w:p>
    <w:p>
      <w:pPr>
        <w:numPr>
          <w:ilvl w:val="0"/>
          <w:numId w:val="10"/>
        </w:numPr>
        <w:tabs>
          <w:tab w:val="left" w:pos="530"/>
          <w:tab w:val="clear" w:pos="540"/>
        </w:tabs>
        <w:spacing w:line="460" w:lineRule="exact"/>
        <w:ind w:left="530" w:hanging="42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本项目不允许提交备选方案。</w:t>
      </w:r>
    </w:p>
    <w:p>
      <w:pPr>
        <w:numPr>
          <w:ilvl w:val="0"/>
          <w:numId w:val="9"/>
        </w:numPr>
        <w:tabs>
          <w:tab w:val="left" w:pos="530"/>
          <w:tab w:val="clear" w:pos="420"/>
        </w:tabs>
        <w:spacing w:line="460" w:lineRule="exact"/>
        <w:ind w:left="530" w:hanging="53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投标人资格要求：</w:t>
      </w:r>
    </w:p>
    <w:p>
      <w:pPr>
        <w:widowControl w:val="0"/>
        <w:numPr>
          <w:ilvl w:val="0"/>
          <w:numId w:val="11"/>
        </w:numPr>
        <w:snapToGrid w:val="0"/>
        <w:spacing w:line="460" w:lineRule="exact"/>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投标人应具备《中华人民共和国政府采购法》第二十二条规定的条件；</w:t>
      </w:r>
    </w:p>
    <w:p>
      <w:pPr>
        <w:widowControl w:val="0"/>
        <w:numPr>
          <w:ilvl w:val="0"/>
          <w:numId w:val="11"/>
        </w:numPr>
        <w:snapToGrid w:val="0"/>
        <w:spacing w:line="460" w:lineRule="exact"/>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投标人具有承担民事责任能力的在中华人民共和国境内注册的企业法人或其他组织，并独立于采购人和采购代理机构，营业执照经营范围须包含本次招标内容；（提供证明文件复印件并加盖公章）；</w:t>
      </w:r>
    </w:p>
    <w:p>
      <w:pPr>
        <w:widowControl w:val="0"/>
        <w:numPr>
          <w:ilvl w:val="0"/>
          <w:numId w:val="11"/>
        </w:numPr>
        <w:snapToGrid w:val="0"/>
        <w:spacing w:line="460" w:lineRule="exact"/>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招标人或招标代理机构将通过“信用中国”网站（www.creditchina.gov.cn）及中国政府采购网（www.ccgp.gov.cn）查询投标人信用记录（查询期限至提交投标文件截止时间），将查询的信用记录提供给评审现场，并做好信用信息查询记录和证据留存，信用信息查询记录及相关证据应当与其招标文件一并保存。对被人民法院列入失信被执行人、重大税收违法案件当事人名单、政府采购严重违法失信行为记录名单的投标人，将取消其参与本次投标的资格；</w:t>
      </w:r>
    </w:p>
    <w:p>
      <w:pPr>
        <w:widowControl w:val="0"/>
        <w:numPr>
          <w:ilvl w:val="0"/>
          <w:numId w:val="11"/>
        </w:numPr>
        <w:snapToGrid w:val="0"/>
        <w:spacing w:line="360" w:lineRule="auto"/>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本项目不接受联合体投标。</w:t>
      </w:r>
    </w:p>
    <w:p>
      <w:pPr>
        <w:widowControl w:val="0"/>
        <w:numPr>
          <w:ilvl w:val="0"/>
          <w:numId w:val="11"/>
        </w:numPr>
        <w:snapToGrid w:val="0"/>
        <w:spacing w:line="360" w:lineRule="auto"/>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投标人须在中山市公共资源交易中心网上报名成功。</w:t>
      </w:r>
    </w:p>
    <w:p>
      <w:pPr>
        <w:spacing w:line="360" w:lineRule="auto"/>
        <w:rPr>
          <w:rFonts w:hint="eastAsia" w:asciiTheme="minorEastAsia" w:hAnsiTheme="minorEastAsia" w:eastAsiaTheme="minorEastAsia" w:cstheme="minorEastAsia"/>
          <w:b/>
          <w:sz w:val="21"/>
          <w:szCs w:val="21"/>
        </w:rPr>
      </w:pPr>
      <w:bookmarkStart w:id="3" w:name="OLE_LINK32"/>
      <w:r>
        <w:rPr>
          <w:rFonts w:hint="eastAsia" w:asciiTheme="minorEastAsia" w:hAnsiTheme="minorEastAsia" w:eastAsiaTheme="minorEastAsia" w:cstheme="minorEastAsia"/>
          <w:b/>
          <w:sz w:val="21"/>
          <w:szCs w:val="21"/>
          <w:lang w:eastAsia="zh-CN"/>
        </w:rPr>
        <w:t>七</w:t>
      </w:r>
      <w:r>
        <w:rPr>
          <w:rFonts w:hint="eastAsia" w:asciiTheme="minorEastAsia" w:hAnsiTheme="minorEastAsia" w:eastAsiaTheme="minorEastAsia" w:cstheme="minorEastAsia"/>
          <w:b/>
          <w:sz w:val="21"/>
          <w:szCs w:val="21"/>
        </w:rPr>
        <w:t>、各潜在投标人应当在</w:t>
      </w:r>
      <w:r>
        <w:rPr>
          <w:rFonts w:hint="eastAsia" w:asciiTheme="minorEastAsia" w:hAnsiTheme="minorEastAsia" w:eastAsiaTheme="minorEastAsia" w:cstheme="minorEastAsia"/>
          <w:b/>
          <w:sz w:val="21"/>
          <w:szCs w:val="21"/>
          <w:u w:val="single"/>
        </w:rPr>
        <w:t>201</w:t>
      </w:r>
      <w:r>
        <w:rPr>
          <w:rFonts w:hint="eastAsia" w:asciiTheme="minorEastAsia" w:hAnsiTheme="minorEastAsia" w:eastAsiaTheme="minorEastAsia" w:cstheme="minorEastAsia"/>
          <w:b/>
          <w:sz w:val="21"/>
          <w:szCs w:val="21"/>
          <w:u w:val="single"/>
          <w:lang w:val="en-US" w:eastAsia="zh-CN"/>
        </w:rPr>
        <w:t>9</w:t>
      </w:r>
      <w:r>
        <w:rPr>
          <w:rFonts w:hint="eastAsia" w:asciiTheme="minorEastAsia" w:hAnsiTheme="minorEastAsia" w:eastAsiaTheme="minorEastAsia" w:cstheme="minorEastAsia"/>
          <w:b/>
          <w:sz w:val="21"/>
          <w:szCs w:val="21"/>
          <w:u w:val="single"/>
        </w:rPr>
        <w:t>年</w:t>
      </w:r>
      <w:r>
        <w:rPr>
          <w:rFonts w:hint="eastAsia" w:asciiTheme="minorEastAsia" w:hAnsiTheme="minorEastAsia" w:eastAsiaTheme="minorEastAsia" w:cstheme="minorEastAsia"/>
          <w:b/>
          <w:sz w:val="21"/>
          <w:szCs w:val="21"/>
          <w:u w:val="single"/>
          <w:lang w:val="en-US" w:eastAsia="zh-CN"/>
        </w:rPr>
        <w:t>1</w:t>
      </w:r>
      <w:r>
        <w:rPr>
          <w:rFonts w:hint="eastAsia" w:asciiTheme="minorEastAsia" w:hAnsiTheme="minorEastAsia" w:eastAsiaTheme="minorEastAsia" w:cstheme="minorEastAsia"/>
          <w:b/>
          <w:sz w:val="21"/>
          <w:szCs w:val="21"/>
          <w:u w:val="single"/>
        </w:rPr>
        <w:t>月</w:t>
      </w:r>
      <w:r>
        <w:rPr>
          <w:rFonts w:hint="eastAsia" w:asciiTheme="minorEastAsia" w:hAnsiTheme="minorEastAsia" w:eastAsiaTheme="minorEastAsia" w:cstheme="minorEastAsia"/>
          <w:b/>
          <w:sz w:val="21"/>
          <w:szCs w:val="21"/>
          <w:u w:val="single"/>
          <w:lang w:val="en-US" w:eastAsia="zh-CN"/>
        </w:rPr>
        <w:t>21</w:t>
      </w:r>
      <w:r>
        <w:rPr>
          <w:rFonts w:hint="eastAsia" w:asciiTheme="minorEastAsia" w:hAnsiTheme="minorEastAsia" w:eastAsiaTheme="minorEastAsia" w:cstheme="minorEastAsia"/>
          <w:b/>
          <w:sz w:val="21"/>
          <w:szCs w:val="21"/>
          <w:u w:val="single"/>
        </w:rPr>
        <w:t>日</w:t>
      </w:r>
      <w:r>
        <w:rPr>
          <w:rFonts w:hint="eastAsia" w:asciiTheme="minorEastAsia" w:hAnsiTheme="minorEastAsia" w:eastAsiaTheme="minorEastAsia" w:cstheme="minorEastAsia"/>
          <w:b/>
          <w:sz w:val="21"/>
          <w:szCs w:val="21"/>
          <w:u w:val="single"/>
          <w:lang w:val="en-US" w:eastAsia="zh-CN"/>
        </w:rPr>
        <w:t>8时30分</w:t>
      </w:r>
      <w:r>
        <w:rPr>
          <w:rFonts w:hint="eastAsia" w:asciiTheme="minorEastAsia" w:hAnsiTheme="minorEastAsia" w:eastAsiaTheme="minorEastAsia" w:cstheme="minorEastAsia"/>
          <w:b/>
          <w:sz w:val="21"/>
          <w:szCs w:val="21"/>
          <w:u w:val="single"/>
        </w:rPr>
        <w:t>至201</w:t>
      </w:r>
      <w:r>
        <w:rPr>
          <w:rFonts w:hint="eastAsia" w:asciiTheme="minorEastAsia" w:hAnsiTheme="minorEastAsia" w:eastAsiaTheme="minorEastAsia" w:cstheme="minorEastAsia"/>
          <w:b/>
          <w:sz w:val="21"/>
          <w:szCs w:val="21"/>
          <w:u w:val="single"/>
          <w:lang w:val="en-US" w:eastAsia="zh-CN"/>
        </w:rPr>
        <w:t>9</w:t>
      </w:r>
      <w:r>
        <w:rPr>
          <w:rFonts w:hint="eastAsia" w:asciiTheme="minorEastAsia" w:hAnsiTheme="minorEastAsia" w:eastAsiaTheme="minorEastAsia" w:cstheme="minorEastAsia"/>
          <w:b/>
          <w:sz w:val="21"/>
          <w:szCs w:val="21"/>
          <w:u w:val="single"/>
        </w:rPr>
        <w:t>年</w:t>
      </w:r>
      <w:r>
        <w:rPr>
          <w:rFonts w:hint="eastAsia" w:asciiTheme="minorEastAsia" w:hAnsiTheme="minorEastAsia" w:eastAsiaTheme="minorEastAsia" w:cstheme="minorEastAsia"/>
          <w:b/>
          <w:sz w:val="21"/>
          <w:szCs w:val="21"/>
          <w:u w:val="single"/>
          <w:lang w:val="en-US" w:eastAsia="zh-CN"/>
        </w:rPr>
        <w:t>1</w:t>
      </w:r>
      <w:r>
        <w:rPr>
          <w:rFonts w:hint="eastAsia" w:asciiTheme="minorEastAsia" w:hAnsiTheme="minorEastAsia" w:eastAsiaTheme="minorEastAsia" w:cstheme="minorEastAsia"/>
          <w:b/>
          <w:sz w:val="21"/>
          <w:szCs w:val="21"/>
          <w:u w:val="single"/>
        </w:rPr>
        <w:t>月</w:t>
      </w:r>
      <w:r>
        <w:rPr>
          <w:rFonts w:hint="eastAsia" w:asciiTheme="minorEastAsia" w:hAnsiTheme="minorEastAsia" w:eastAsiaTheme="minorEastAsia" w:cstheme="minorEastAsia"/>
          <w:b/>
          <w:sz w:val="21"/>
          <w:szCs w:val="21"/>
          <w:u w:val="single"/>
          <w:lang w:val="en-US" w:eastAsia="zh-CN"/>
        </w:rPr>
        <w:t>25</w:t>
      </w:r>
      <w:r>
        <w:rPr>
          <w:rFonts w:hint="eastAsia" w:asciiTheme="minorEastAsia" w:hAnsiTheme="minorEastAsia" w:eastAsiaTheme="minorEastAsia" w:cstheme="minorEastAsia"/>
          <w:b/>
          <w:sz w:val="21"/>
          <w:szCs w:val="21"/>
          <w:u w:val="single"/>
        </w:rPr>
        <w:t>日</w:t>
      </w:r>
      <w:r>
        <w:rPr>
          <w:rFonts w:hint="eastAsia" w:asciiTheme="minorEastAsia" w:hAnsiTheme="minorEastAsia" w:eastAsiaTheme="minorEastAsia" w:cstheme="minorEastAsia"/>
          <w:b/>
          <w:sz w:val="21"/>
          <w:szCs w:val="21"/>
          <w:u w:val="single"/>
          <w:lang w:val="en-US" w:eastAsia="zh-CN"/>
        </w:rPr>
        <w:t>17</w:t>
      </w:r>
      <w:r>
        <w:rPr>
          <w:rFonts w:hint="eastAsia" w:asciiTheme="minorEastAsia" w:hAnsiTheme="minorEastAsia" w:eastAsiaTheme="minorEastAsia" w:cstheme="minorEastAsia"/>
          <w:b/>
          <w:sz w:val="21"/>
          <w:szCs w:val="21"/>
          <w:u w:val="single"/>
        </w:rPr>
        <w:t>时</w:t>
      </w:r>
      <w:r>
        <w:rPr>
          <w:rFonts w:hint="eastAsia" w:asciiTheme="minorEastAsia" w:hAnsiTheme="minorEastAsia" w:eastAsiaTheme="minorEastAsia" w:cstheme="minorEastAsia"/>
          <w:b/>
          <w:sz w:val="21"/>
          <w:szCs w:val="21"/>
          <w:u w:val="single"/>
          <w:lang w:val="en-US" w:eastAsia="zh-CN"/>
        </w:rPr>
        <w:t>30</w:t>
      </w:r>
      <w:r>
        <w:rPr>
          <w:rFonts w:hint="eastAsia" w:asciiTheme="minorEastAsia" w:hAnsiTheme="minorEastAsia" w:eastAsiaTheme="minorEastAsia" w:cstheme="minorEastAsia"/>
          <w:b/>
          <w:sz w:val="21"/>
          <w:szCs w:val="21"/>
          <w:u w:val="single"/>
        </w:rPr>
        <w:t>分</w:t>
      </w:r>
      <w:r>
        <w:rPr>
          <w:rFonts w:hint="eastAsia" w:asciiTheme="minorEastAsia" w:hAnsiTheme="minorEastAsia" w:eastAsiaTheme="minorEastAsia" w:cstheme="minorEastAsia"/>
          <w:b/>
          <w:sz w:val="21"/>
          <w:szCs w:val="21"/>
        </w:rPr>
        <w:t>内登录中山市公共资源交易中心网报名。</w:t>
      </w:r>
    </w:p>
    <w:p>
      <w:pPr>
        <w:spacing w:line="360" w:lineRule="auto"/>
        <w:ind w:left="309" w:hanging="308" w:hangingChars="14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 xml:space="preserve">1. </w:t>
      </w:r>
      <w:r>
        <w:rPr>
          <w:rFonts w:hint="eastAsia" w:asciiTheme="minorEastAsia" w:hAnsiTheme="minorEastAsia" w:eastAsiaTheme="minorEastAsia" w:cstheme="minorEastAsia"/>
          <w:color w:val="auto"/>
          <w:sz w:val="21"/>
          <w:szCs w:val="21"/>
        </w:rPr>
        <w:t>项目采用网上报名的方式。请各潜在</w:t>
      </w:r>
      <w:bookmarkStart w:id="4" w:name="OLE_LINK34"/>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投标人</w:t>
      </w:r>
      <w:bookmarkEnd w:id="4"/>
      <w:r>
        <w:rPr>
          <w:rFonts w:hint="eastAsia" w:asciiTheme="minorEastAsia" w:hAnsiTheme="minorEastAsia" w:eastAsiaTheme="minorEastAsia" w:cstheme="minorEastAsia"/>
          <w:color w:val="auto"/>
          <w:sz w:val="21"/>
          <w:szCs w:val="21"/>
        </w:rPr>
        <w:t>登录中山市公共资源交易中心新门户网站，按照《中山市公共资源交易系统注册登记办事指引》完成注册登记工作，并携带相关资料到现场办理数字证书。网址详见：</w:t>
      </w:r>
    </w:p>
    <w:p>
      <w:pPr>
        <w:spacing w:line="360" w:lineRule="auto"/>
        <w:ind w:left="128" w:leftChars="61"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auto"/>
          <w:sz w:val="21"/>
          <w:szCs w:val="21"/>
        </w:rPr>
        <w:t>http://www.zsjyzx.gov.cn/Application/NewPage/PageArtical_1.jsp?nodeID=83&amp;articalID=67567</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咨询电话</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highlight w:val="none"/>
        </w:rPr>
        <w:t>综合</w:t>
      </w:r>
      <w:r>
        <w:rPr>
          <w:rFonts w:hint="eastAsia" w:asciiTheme="minorEastAsia" w:hAnsiTheme="minorEastAsia" w:eastAsiaTheme="minorEastAsia" w:cstheme="minorEastAsia"/>
          <w:color w:val="auto"/>
          <w:sz w:val="21"/>
          <w:szCs w:val="21"/>
          <w:highlight w:val="none"/>
          <w:lang w:eastAsia="zh-CN"/>
        </w:rPr>
        <w:t>收件窗口：</w:t>
      </w:r>
      <w:r>
        <w:rPr>
          <w:rFonts w:hint="eastAsia" w:asciiTheme="minorEastAsia" w:hAnsiTheme="minorEastAsia" w:eastAsiaTheme="minorEastAsia" w:cstheme="minorEastAsia"/>
          <w:color w:val="auto"/>
          <w:sz w:val="21"/>
          <w:szCs w:val="21"/>
          <w:highlight w:val="none"/>
          <w:lang w:val="en-US" w:eastAsia="zh-CN"/>
        </w:rPr>
        <w:t>0760-89817167、0760-88331782。</w:t>
      </w:r>
    </w:p>
    <w:p>
      <w:pPr>
        <w:spacing w:line="360" w:lineRule="auto"/>
        <w:ind w:left="309" w:hanging="308" w:hangingChars="147"/>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 已注册登记的投标人应当在招标公告规定时间内，登录“中山市公共资源交易平台”完成网上报名，上传投标文件和确认投标等操作。具体请按“《综合交易系统（企业）操作指引》完成网上报名工作。咨询电话：0760-89817366（综合部）。</w:t>
      </w:r>
      <w:r>
        <w:rPr>
          <w:rFonts w:hint="eastAsia" w:asciiTheme="minorEastAsia" w:hAnsiTheme="minorEastAsia" w:eastAsiaTheme="minorEastAsia" w:cstheme="minorEastAsia"/>
          <w:b/>
          <w:sz w:val="21"/>
          <w:szCs w:val="21"/>
          <w:highlight w:val="none"/>
        </w:rPr>
        <w:t>投标人须于投标截止时间前在中山市公共资源交易平台</w:t>
      </w:r>
      <w:r>
        <w:rPr>
          <w:rFonts w:hint="eastAsia" w:asciiTheme="minorEastAsia" w:hAnsiTheme="minorEastAsia" w:eastAsiaTheme="minorEastAsia" w:cstheme="minorEastAsia"/>
          <w:b/>
          <w:sz w:val="21"/>
          <w:szCs w:val="21"/>
          <w:highlight w:val="none"/>
          <w:lang w:eastAsia="zh-CN"/>
        </w:rPr>
        <w:t>综合交易系统</w:t>
      </w:r>
      <w:r>
        <w:rPr>
          <w:rFonts w:hint="eastAsia" w:asciiTheme="minorEastAsia" w:hAnsiTheme="minorEastAsia" w:eastAsiaTheme="minorEastAsia" w:cstheme="minorEastAsia"/>
          <w:b/>
          <w:sz w:val="21"/>
          <w:szCs w:val="21"/>
          <w:highlight w:val="none"/>
        </w:rPr>
        <w:t>上传电子版的投标文件和确认投标操作。</w:t>
      </w:r>
    </w:p>
    <w:p>
      <w:pPr>
        <w:spacing w:line="360" w:lineRule="auto"/>
        <w:ind w:left="309" w:hanging="308" w:hangingChars="14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none"/>
        </w:rPr>
        <w:t>3. 各投标人自行登陆中山市公共资源交易中心网（网址：http://www.zsjyzx.gov.cn/）下载有效的电子版招标文件。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lang w:eastAsia="zh-CN"/>
        </w:rPr>
        <w:t>八</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highlight w:val="none"/>
        </w:rPr>
        <w:t>答疑时间：</w:t>
      </w:r>
      <w:r>
        <w:rPr>
          <w:rFonts w:hint="eastAsia" w:asciiTheme="minorEastAsia" w:hAnsiTheme="minorEastAsia" w:eastAsiaTheme="minorEastAsia" w:cstheme="minorEastAsia"/>
          <w:sz w:val="21"/>
          <w:szCs w:val="21"/>
          <w:highlight w:val="none"/>
        </w:rPr>
        <w:t>投标人如有疑问，请于</w:t>
      </w:r>
      <w:r>
        <w:rPr>
          <w:rFonts w:hint="eastAsia" w:asciiTheme="minorEastAsia" w:hAnsiTheme="minorEastAsia" w:eastAsiaTheme="minorEastAsia" w:cstheme="minorEastAsia"/>
          <w:sz w:val="21"/>
          <w:szCs w:val="21"/>
          <w:highlight w:val="none"/>
          <w:u w:val="single"/>
        </w:rPr>
        <w:t>201</w:t>
      </w:r>
      <w:r>
        <w:rPr>
          <w:rFonts w:hint="eastAsia" w:asciiTheme="minorEastAsia" w:hAnsiTheme="minorEastAsia" w:eastAsiaTheme="minorEastAsia" w:cstheme="minorEastAsia"/>
          <w:sz w:val="21"/>
          <w:szCs w:val="21"/>
          <w:highlight w:val="none"/>
          <w:u w:val="single"/>
          <w:lang w:val="en-US" w:eastAsia="zh-CN"/>
        </w:rPr>
        <w:t>9</w:t>
      </w:r>
      <w:r>
        <w:rPr>
          <w:rFonts w:hint="eastAsia" w:asciiTheme="minorEastAsia" w:hAnsiTheme="minorEastAsia" w:eastAsiaTheme="minorEastAsia" w:cstheme="minorEastAsia"/>
          <w:sz w:val="21"/>
          <w:szCs w:val="21"/>
          <w:highlight w:val="none"/>
          <w:u w:val="single"/>
        </w:rPr>
        <w:t>年</w:t>
      </w:r>
      <w:r>
        <w:rPr>
          <w:rFonts w:hint="eastAsia" w:asciiTheme="minorEastAsia" w:hAnsiTheme="minorEastAsia" w:eastAsiaTheme="minorEastAsia" w:cstheme="minorEastAsia"/>
          <w:sz w:val="21"/>
          <w:szCs w:val="21"/>
          <w:highlight w:val="none"/>
          <w:u w:val="single"/>
          <w:lang w:val="en-US" w:eastAsia="zh-CN"/>
        </w:rPr>
        <w:t>1</w:t>
      </w:r>
      <w:r>
        <w:rPr>
          <w:rFonts w:hint="eastAsia" w:asciiTheme="minorEastAsia" w:hAnsiTheme="minorEastAsia" w:eastAsiaTheme="minorEastAsia" w:cstheme="minorEastAsia"/>
          <w:sz w:val="21"/>
          <w:szCs w:val="21"/>
          <w:highlight w:val="none"/>
          <w:u w:val="single"/>
        </w:rPr>
        <w:t>月</w:t>
      </w:r>
      <w:r>
        <w:rPr>
          <w:rFonts w:hint="eastAsia" w:asciiTheme="minorEastAsia" w:hAnsiTheme="minorEastAsia" w:eastAsiaTheme="minorEastAsia" w:cstheme="minorEastAsia"/>
          <w:sz w:val="21"/>
          <w:szCs w:val="21"/>
          <w:highlight w:val="none"/>
          <w:u w:val="single"/>
          <w:lang w:val="en-US" w:eastAsia="zh-CN"/>
        </w:rPr>
        <w:t>28</w:t>
      </w:r>
      <w:r>
        <w:rPr>
          <w:rFonts w:hint="eastAsia" w:asciiTheme="minorEastAsia" w:hAnsiTheme="minorEastAsia" w:eastAsiaTheme="minorEastAsia" w:cstheme="minorEastAsia"/>
          <w:sz w:val="21"/>
          <w:szCs w:val="21"/>
          <w:highlight w:val="none"/>
          <w:u w:val="single"/>
        </w:rPr>
        <w:t>日17时00分</w:t>
      </w:r>
      <w:r>
        <w:rPr>
          <w:rFonts w:hint="eastAsia" w:asciiTheme="minorEastAsia" w:hAnsiTheme="minorEastAsia" w:eastAsiaTheme="minorEastAsia" w:cstheme="minorEastAsia"/>
          <w:b/>
          <w:bCs/>
          <w:color w:val="auto"/>
          <w:sz w:val="21"/>
          <w:szCs w:val="21"/>
          <w:highlight w:val="none"/>
        </w:rPr>
        <w:t>前</w:t>
      </w:r>
      <w:r>
        <w:rPr>
          <w:rFonts w:hint="eastAsia" w:asciiTheme="minorEastAsia" w:hAnsiTheme="minorEastAsia" w:eastAsiaTheme="minorEastAsia" w:cstheme="minorEastAsia"/>
          <w:b/>
          <w:bCs/>
          <w:color w:val="auto"/>
          <w:sz w:val="21"/>
          <w:szCs w:val="21"/>
          <w:highlight w:val="none"/>
          <w:lang w:eastAsia="zh-CN"/>
        </w:rPr>
        <w:t>在网上综合交易</w:t>
      </w:r>
      <w:bookmarkStart w:id="5" w:name="OLE_LINK15"/>
      <w:r>
        <w:rPr>
          <w:rFonts w:hint="eastAsia" w:asciiTheme="minorEastAsia" w:hAnsiTheme="minorEastAsia" w:eastAsiaTheme="minorEastAsia" w:cstheme="minorEastAsia"/>
          <w:b/>
          <w:bCs/>
          <w:color w:val="auto"/>
          <w:sz w:val="21"/>
          <w:szCs w:val="21"/>
          <w:highlight w:val="none"/>
          <w:lang w:eastAsia="zh-CN"/>
        </w:rPr>
        <w:t>系统</w:t>
      </w:r>
      <w:bookmarkEnd w:id="5"/>
      <w:r>
        <w:rPr>
          <w:rFonts w:hint="eastAsia" w:asciiTheme="minorEastAsia" w:hAnsiTheme="minorEastAsia" w:eastAsiaTheme="minorEastAsia" w:cstheme="minorEastAsia"/>
          <w:b/>
          <w:bCs/>
          <w:color w:val="auto"/>
          <w:sz w:val="21"/>
          <w:szCs w:val="21"/>
          <w:highlight w:val="none"/>
          <w:lang w:eastAsia="zh-CN"/>
        </w:rPr>
        <w:t>答疑管理处提出。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lang w:eastAsia="zh-CN"/>
        </w:rPr>
        <w:t>九</w:t>
      </w:r>
      <w:r>
        <w:rPr>
          <w:rFonts w:hint="eastAsia" w:asciiTheme="minorEastAsia" w:hAnsiTheme="minorEastAsia" w:eastAsiaTheme="minorEastAsia" w:cstheme="minorEastAsia"/>
          <w:b/>
          <w:sz w:val="21"/>
          <w:szCs w:val="21"/>
        </w:rPr>
        <w:t>、答疑回复时间：</w:t>
      </w:r>
      <w:r>
        <w:rPr>
          <w:rFonts w:hint="eastAsia" w:asciiTheme="minorEastAsia" w:hAnsiTheme="minorEastAsia" w:eastAsiaTheme="minorEastAsia" w:cstheme="minorEastAsia"/>
          <w:sz w:val="21"/>
          <w:szCs w:val="21"/>
          <w:u w:val="single"/>
        </w:rPr>
        <w:t>201</w:t>
      </w:r>
      <w:r>
        <w:rPr>
          <w:rFonts w:hint="eastAsia" w:asciiTheme="minorEastAsia" w:hAnsiTheme="minorEastAsia" w:eastAsiaTheme="minorEastAsia" w:cstheme="minorEastAsia"/>
          <w:sz w:val="21"/>
          <w:szCs w:val="21"/>
          <w:u w:val="single"/>
          <w:lang w:val="en-US" w:eastAsia="zh-CN"/>
        </w:rPr>
        <w:t>9</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2</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1</w:t>
      </w:r>
      <w:r>
        <w:rPr>
          <w:rFonts w:hint="eastAsia" w:asciiTheme="minorEastAsia" w:hAnsiTheme="minorEastAsia" w:eastAsiaTheme="minorEastAsia" w:cstheme="minorEastAsia"/>
          <w:sz w:val="21"/>
          <w:szCs w:val="21"/>
          <w:u w:val="single"/>
        </w:rPr>
        <w:t>日17时30分</w:t>
      </w:r>
      <w:r>
        <w:rPr>
          <w:rFonts w:hint="eastAsia" w:asciiTheme="minorEastAsia" w:hAnsiTheme="minorEastAsia" w:eastAsiaTheme="minorEastAsia" w:cstheme="minorEastAsia"/>
          <w:sz w:val="21"/>
          <w:szCs w:val="21"/>
        </w:rPr>
        <w:t>前将由招标代理机构统一在中山市公共资源交易网“交易答疑澄清”栏发布答疑公告，请各投标人自行查看或下载。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lang w:eastAsia="zh-CN"/>
        </w:rPr>
        <w:t>十</w:t>
      </w:r>
      <w:r>
        <w:rPr>
          <w:rFonts w:hint="eastAsia" w:asciiTheme="minorEastAsia" w:hAnsiTheme="minorEastAsia" w:eastAsiaTheme="minorEastAsia" w:cstheme="minorEastAsia"/>
          <w:b/>
          <w:sz w:val="21"/>
          <w:szCs w:val="21"/>
        </w:rPr>
        <w:t>、★投标保证金。</w:t>
      </w:r>
      <w:r>
        <w:rPr>
          <w:rFonts w:hint="eastAsia" w:asciiTheme="minorEastAsia" w:hAnsiTheme="minorEastAsia" w:eastAsiaTheme="minorEastAsia" w:cstheme="minorEastAsia"/>
          <w:sz w:val="21"/>
          <w:szCs w:val="21"/>
        </w:rPr>
        <w:t>投标人必须按（综合交易）网上缴纳保证金通知书规定从投标人基本账户转出保证金的方式提交投标保证金，</w:t>
      </w:r>
      <w:r>
        <w:rPr>
          <w:rFonts w:hint="eastAsia" w:asciiTheme="minorEastAsia" w:hAnsiTheme="minorEastAsia" w:eastAsiaTheme="minorEastAsia" w:cstheme="minorEastAsia"/>
          <w:b/>
          <w:sz w:val="21"/>
          <w:szCs w:val="21"/>
        </w:rPr>
        <w:t>投标保证金为¥</w:t>
      </w:r>
      <w:r>
        <w:rPr>
          <w:rFonts w:hint="eastAsia" w:asciiTheme="minorEastAsia" w:hAnsiTheme="minorEastAsia" w:eastAsiaTheme="minorEastAsia" w:cstheme="minorEastAsia"/>
          <w:b/>
          <w:sz w:val="21"/>
          <w:szCs w:val="21"/>
          <w:lang w:val="en-US" w:eastAsia="zh-CN"/>
        </w:rPr>
        <w:t>38000</w:t>
      </w:r>
      <w:r>
        <w:rPr>
          <w:rFonts w:hint="eastAsia" w:asciiTheme="minorEastAsia" w:hAnsiTheme="minorEastAsia" w:eastAsiaTheme="minorEastAsia" w:cstheme="minorEastAsia"/>
          <w:b/>
          <w:sz w:val="21"/>
          <w:szCs w:val="21"/>
        </w:rPr>
        <w:t>.00（大写：人民币</w:t>
      </w:r>
      <w:r>
        <w:rPr>
          <w:rFonts w:hint="eastAsia" w:asciiTheme="minorEastAsia" w:hAnsiTheme="minorEastAsia" w:eastAsiaTheme="minorEastAsia" w:cstheme="minorEastAsia"/>
          <w:b/>
          <w:sz w:val="21"/>
          <w:szCs w:val="21"/>
          <w:lang w:eastAsia="zh-CN"/>
        </w:rPr>
        <w:t>叁万捌仟</w:t>
      </w:r>
      <w:r>
        <w:rPr>
          <w:rFonts w:hint="eastAsia" w:asciiTheme="minorEastAsia" w:hAnsiTheme="minorEastAsia" w:eastAsiaTheme="minorEastAsia" w:cstheme="minorEastAsia"/>
          <w:b/>
          <w:sz w:val="21"/>
          <w:szCs w:val="21"/>
        </w:rPr>
        <w:t>元整）</w:t>
      </w:r>
      <w:r>
        <w:rPr>
          <w:rFonts w:hint="eastAsia" w:asciiTheme="minorEastAsia" w:hAnsiTheme="minorEastAsia" w:eastAsiaTheme="minorEastAsia" w:cstheme="minorEastAsia"/>
          <w:sz w:val="21"/>
          <w:szCs w:val="21"/>
        </w:rPr>
        <w:t>，报名投标人应在</w:t>
      </w:r>
      <w:r>
        <w:rPr>
          <w:rFonts w:hint="eastAsia" w:asciiTheme="minorEastAsia" w:hAnsiTheme="minorEastAsia" w:eastAsiaTheme="minorEastAsia" w:cstheme="minorEastAsia"/>
          <w:sz w:val="21"/>
          <w:szCs w:val="21"/>
          <w:u w:val="single"/>
        </w:rPr>
        <w:t>201</w:t>
      </w:r>
      <w:r>
        <w:rPr>
          <w:rFonts w:hint="eastAsia" w:asciiTheme="minorEastAsia" w:hAnsiTheme="minorEastAsia" w:eastAsiaTheme="minorEastAsia" w:cstheme="minorEastAsia"/>
          <w:sz w:val="21"/>
          <w:szCs w:val="21"/>
          <w:u w:val="single"/>
          <w:lang w:val="en-US" w:eastAsia="zh-CN"/>
        </w:rPr>
        <w:t>9</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2</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26</w:t>
      </w:r>
      <w:r>
        <w:rPr>
          <w:rFonts w:hint="eastAsia" w:asciiTheme="minorEastAsia" w:hAnsiTheme="minorEastAsia" w:eastAsiaTheme="minorEastAsia" w:cstheme="minorEastAsia"/>
          <w:sz w:val="21"/>
          <w:szCs w:val="21"/>
          <w:u w:val="single"/>
        </w:rPr>
        <w:t>日</w:t>
      </w:r>
      <w:r>
        <w:rPr>
          <w:rFonts w:hint="eastAsia" w:asciiTheme="minorEastAsia" w:hAnsiTheme="minorEastAsia" w:eastAsiaTheme="minorEastAsia" w:cstheme="minorEastAsia"/>
          <w:sz w:val="21"/>
          <w:szCs w:val="21"/>
          <w:u w:val="single"/>
          <w:lang w:val="en-US" w:eastAsia="zh-CN"/>
        </w:rPr>
        <w:t>9</w:t>
      </w:r>
      <w:r>
        <w:rPr>
          <w:rFonts w:hint="eastAsia" w:asciiTheme="minorEastAsia" w:hAnsiTheme="minorEastAsia" w:eastAsiaTheme="minorEastAsia" w:cstheme="minorEastAsia"/>
          <w:sz w:val="21"/>
          <w:szCs w:val="21"/>
          <w:u w:val="single"/>
        </w:rPr>
        <w:t>时</w:t>
      </w:r>
      <w:r>
        <w:rPr>
          <w:rFonts w:hint="eastAsia" w:asciiTheme="minorEastAsia" w:hAnsiTheme="minorEastAsia" w:eastAsiaTheme="minorEastAsia" w:cstheme="minorEastAsia"/>
          <w:sz w:val="21"/>
          <w:szCs w:val="21"/>
          <w:u w:val="single"/>
          <w:lang w:val="en-US" w:eastAsia="zh-CN"/>
        </w:rPr>
        <w:t>3</w:t>
      </w:r>
      <w:r>
        <w:rPr>
          <w:rFonts w:hint="eastAsia" w:asciiTheme="minorEastAsia" w:hAnsiTheme="minorEastAsia" w:eastAsiaTheme="minorEastAsia" w:cstheme="minorEastAsia"/>
          <w:sz w:val="21"/>
          <w:szCs w:val="21"/>
          <w:u w:val="single"/>
        </w:rPr>
        <w:t>0分</w:t>
      </w:r>
      <w:r>
        <w:rPr>
          <w:rFonts w:hint="eastAsia" w:asciiTheme="minorEastAsia" w:hAnsiTheme="minorEastAsia" w:eastAsiaTheme="minorEastAsia" w:cstheme="minorEastAsia"/>
          <w:sz w:val="21"/>
          <w:szCs w:val="21"/>
        </w:rPr>
        <w:t>前缴纳投标保证金。投标保证金账号由投标人通过综合交易系统申请并按照缴纳保证金通知书上内容缴纳。（如不按要求缴纳，视为无效保证金）</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具体操作方法请登录“中山市公共资源交易网&gt;&gt;服务指南&gt;&gt;办事指引&gt;&gt;下载综合交易系统（企业）操作指引 。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十</w:t>
      </w:r>
      <w:r>
        <w:rPr>
          <w:rFonts w:hint="eastAsia" w:asciiTheme="minorEastAsia" w:hAnsiTheme="minorEastAsia" w:eastAsiaTheme="minorEastAsia" w:cstheme="minorEastAsia"/>
          <w:b/>
          <w:sz w:val="21"/>
          <w:szCs w:val="21"/>
          <w:lang w:eastAsia="zh-CN"/>
        </w:rPr>
        <w:t>一</w:t>
      </w:r>
      <w:r>
        <w:rPr>
          <w:rFonts w:hint="eastAsia" w:asciiTheme="minorEastAsia" w:hAnsiTheme="minorEastAsia" w:eastAsiaTheme="minorEastAsia" w:cstheme="minorEastAsia"/>
          <w:b/>
          <w:sz w:val="21"/>
          <w:szCs w:val="21"/>
        </w:rPr>
        <w:t>、递交投标文件时间：</w:t>
      </w:r>
      <w:r>
        <w:rPr>
          <w:rFonts w:hint="eastAsia" w:asciiTheme="minorEastAsia" w:hAnsiTheme="minorEastAsia" w:eastAsiaTheme="minorEastAsia" w:cstheme="minorEastAsia"/>
          <w:sz w:val="21"/>
          <w:szCs w:val="21"/>
          <w:u w:val="single"/>
        </w:rPr>
        <w:t>201</w:t>
      </w:r>
      <w:r>
        <w:rPr>
          <w:rFonts w:hint="eastAsia" w:asciiTheme="minorEastAsia" w:hAnsiTheme="minorEastAsia" w:eastAsiaTheme="minorEastAsia" w:cstheme="minorEastAsia"/>
          <w:sz w:val="21"/>
          <w:szCs w:val="21"/>
          <w:u w:val="single"/>
          <w:lang w:val="en-US" w:eastAsia="zh-CN"/>
        </w:rPr>
        <w:t>9</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2</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26</w:t>
      </w:r>
      <w:r>
        <w:rPr>
          <w:rFonts w:hint="eastAsia" w:asciiTheme="minorEastAsia" w:hAnsiTheme="minorEastAsia" w:eastAsiaTheme="minorEastAsia" w:cstheme="minorEastAsia"/>
          <w:sz w:val="21"/>
          <w:szCs w:val="21"/>
          <w:u w:val="single"/>
        </w:rPr>
        <w:t>日</w:t>
      </w:r>
      <w:r>
        <w:rPr>
          <w:rFonts w:hint="eastAsia" w:asciiTheme="minorEastAsia" w:hAnsiTheme="minorEastAsia" w:eastAsiaTheme="minorEastAsia" w:cstheme="minorEastAsia"/>
          <w:sz w:val="21"/>
          <w:szCs w:val="21"/>
          <w:u w:val="single"/>
          <w:lang w:val="en-US" w:eastAsia="zh-CN"/>
        </w:rPr>
        <w:t>09</w:t>
      </w:r>
      <w:r>
        <w:rPr>
          <w:rFonts w:hint="eastAsia" w:asciiTheme="minorEastAsia" w:hAnsiTheme="minorEastAsia" w:eastAsiaTheme="minorEastAsia" w:cstheme="minorEastAsia"/>
          <w:sz w:val="21"/>
          <w:szCs w:val="21"/>
          <w:u w:val="single"/>
        </w:rPr>
        <w:t>时</w:t>
      </w:r>
      <w:r>
        <w:rPr>
          <w:rFonts w:hint="eastAsia" w:asciiTheme="minorEastAsia" w:hAnsiTheme="minorEastAsia" w:eastAsiaTheme="minorEastAsia" w:cstheme="minorEastAsia"/>
          <w:sz w:val="21"/>
          <w:szCs w:val="21"/>
          <w:u w:val="single"/>
          <w:lang w:val="en-US" w:eastAsia="zh-CN"/>
        </w:rPr>
        <w:t>00</w:t>
      </w:r>
      <w:r>
        <w:rPr>
          <w:rFonts w:hint="eastAsia" w:asciiTheme="minorEastAsia" w:hAnsiTheme="minorEastAsia" w:eastAsiaTheme="minorEastAsia" w:cstheme="minorEastAsia"/>
          <w:sz w:val="21"/>
          <w:szCs w:val="21"/>
          <w:u w:val="single"/>
        </w:rPr>
        <w:t>分至</w:t>
      </w:r>
      <w:r>
        <w:rPr>
          <w:rFonts w:hint="eastAsia" w:asciiTheme="minorEastAsia" w:hAnsiTheme="minorEastAsia" w:eastAsiaTheme="minorEastAsia" w:cstheme="minorEastAsia"/>
          <w:sz w:val="21"/>
          <w:szCs w:val="21"/>
          <w:u w:val="single"/>
          <w:lang w:val="en-US" w:eastAsia="zh-CN"/>
        </w:rPr>
        <w:t>09</w:t>
      </w:r>
      <w:r>
        <w:rPr>
          <w:rFonts w:hint="eastAsia" w:asciiTheme="minorEastAsia" w:hAnsiTheme="minorEastAsia" w:eastAsiaTheme="minorEastAsia" w:cstheme="minorEastAsia"/>
          <w:sz w:val="21"/>
          <w:szCs w:val="21"/>
          <w:u w:val="single"/>
        </w:rPr>
        <w:t>时</w:t>
      </w:r>
      <w:r>
        <w:rPr>
          <w:rFonts w:hint="eastAsia" w:asciiTheme="minorEastAsia" w:hAnsiTheme="minorEastAsia" w:eastAsiaTheme="minorEastAsia" w:cstheme="minorEastAsia"/>
          <w:sz w:val="21"/>
          <w:szCs w:val="21"/>
          <w:u w:val="single"/>
          <w:lang w:val="en-US" w:eastAsia="zh-CN"/>
        </w:rPr>
        <w:t>30</w:t>
      </w:r>
      <w:r>
        <w:rPr>
          <w:rFonts w:hint="eastAsia" w:asciiTheme="minorEastAsia" w:hAnsiTheme="minorEastAsia" w:eastAsiaTheme="minorEastAsia" w:cstheme="minorEastAsia"/>
          <w:sz w:val="21"/>
          <w:szCs w:val="21"/>
          <w:u w:val="single"/>
        </w:rPr>
        <w:t>分</w:t>
      </w:r>
      <w:r>
        <w:rPr>
          <w:rFonts w:hint="eastAsia" w:asciiTheme="minorEastAsia" w:hAnsiTheme="minorEastAsia" w:eastAsiaTheme="minorEastAsia" w:cstheme="minorEastAsia"/>
          <w:sz w:val="21"/>
          <w:szCs w:val="21"/>
        </w:rPr>
        <w:t>。</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十</w:t>
      </w:r>
      <w:r>
        <w:rPr>
          <w:rFonts w:hint="eastAsia" w:asciiTheme="minorEastAsia" w:hAnsiTheme="minorEastAsia" w:eastAsiaTheme="minorEastAsia" w:cstheme="minorEastAsia"/>
          <w:b/>
          <w:sz w:val="21"/>
          <w:szCs w:val="21"/>
          <w:lang w:eastAsia="zh-CN"/>
        </w:rPr>
        <w:t>二</w:t>
      </w:r>
      <w:r>
        <w:rPr>
          <w:rFonts w:hint="eastAsia" w:asciiTheme="minorEastAsia" w:hAnsiTheme="minorEastAsia" w:eastAsiaTheme="minorEastAsia" w:cstheme="minorEastAsia"/>
          <w:b/>
          <w:sz w:val="21"/>
          <w:szCs w:val="21"/>
        </w:rPr>
        <w:t>、投标截止时间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201</w:t>
      </w:r>
      <w:r>
        <w:rPr>
          <w:rFonts w:hint="eastAsia" w:asciiTheme="minorEastAsia" w:hAnsiTheme="minorEastAsia" w:eastAsiaTheme="minorEastAsia" w:cstheme="minorEastAsia"/>
          <w:sz w:val="21"/>
          <w:szCs w:val="21"/>
          <w:u w:val="single"/>
          <w:lang w:val="en-US" w:eastAsia="zh-CN"/>
        </w:rPr>
        <w:t>9</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2</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26</w:t>
      </w:r>
      <w:r>
        <w:rPr>
          <w:rFonts w:hint="eastAsia" w:asciiTheme="minorEastAsia" w:hAnsiTheme="minorEastAsia" w:eastAsiaTheme="minorEastAsia" w:cstheme="minorEastAsia"/>
          <w:sz w:val="21"/>
          <w:szCs w:val="21"/>
          <w:u w:val="single"/>
        </w:rPr>
        <w:t>日</w:t>
      </w:r>
      <w:r>
        <w:rPr>
          <w:rFonts w:hint="eastAsia" w:asciiTheme="minorEastAsia" w:hAnsiTheme="minorEastAsia" w:eastAsiaTheme="minorEastAsia" w:cstheme="minorEastAsia"/>
          <w:sz w:val="21"/>
          <w:szCs w:val="21"/>
          <w:u w:val="single"/>
          <w:lang w:val="en-US" w:eastAsia="zh-CN"/>
        </w:rPr>
        <w:t>09</w:t>
      </w:r>
      <w:r>
        <w:rPr>
          <w:rFonts w:hint="eastAsia" w:asciiTheme="minorEastAsia" w:hAnsiTheme="minorEastAsia" w:eastAsiaTheme="minorEastAsia" w:cstheme="minorEastAsia"/>
          <w:sz w:val="21"/>
          <w:szCs w:val="21"/>
          <w:u w:val="single"/>
        </w:rPr>
        <w:t>时</w:t>
      </w:r>
      <w:r>
        <w:rPr>
          <w:rFonts w:hint="eastAsia" w:asciiTheme="minorEastAsia" w:hAnsiTheme="minorEastAsia" w:eastAsiaTheme="minorEastAsia" w:cstheme="minorEastAsia"/>
          <w:sz w:val="21"/>
          <w:szCs w:val="21"/>
          <w:u w:val="single"/>
          <w:lang w:val="en-US" w:eastAsia="zh-CN"/>
        </w:rPr>
        <w:t>30</w:t>
      </w:r>
      <w:r>
        <w:rPr>
          <w:rFonts w:hint="eastAsia" w:asciiTheme="minorEastAsia" w:hAnsiTheme="minorEastAsia" w:eastAsiaTheme="minorEastAsia" w:cstheme="minorEastAsia"/>
          <w:sz w:val="21"/>
          <w:szCs w:val="21"/>
          <w:u w:val="single"/>
        </w:rPr>
        <w:t>分</w:t>
      </w:r>
      <w:r>
        <w:rPr>
          <w:rFonts w:hint="eastAsia" w:asciiTheme="minorEastAsia" w:hAnsiTheme="minorEastAsia" w:eastAsiaTheme="minorEastAsia" w:cstheme="minorEastAsia"/>
          <w:sz w:val="21"/>
          <w:szCs w:val="21"/>
        </w:rPr>
        <w:t>。</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十</w:t>
      </w:r>
      <w:r>
        <w:rPr>
          <w:rFonts w:hint="eastAsia" w:asciiTheme="minorEastAsia" w:hAnsiTheme="minorEastAsia" w:eastAsiaTheme="minorEastAsia" w:cstheme="minorEastAsia"/>
          <w:b/>
          <w:sz w:val="21"/>
          <w:szCs w:val="21"/>
          <w:lang w:eastAsia="zh-CN"/>
        </w:rPr>
        <w:t>三</w:t>
      </w:r>
      <w:r>
        <w:rPr>
          <w:rFonts w:hint="eastAsia" w:asciiTheme="minorEastAsia" w:hAnsiTheme="minorEastAsia" w:eastAsiaTheme="minorEastAsia" w:cstheme="minorEastAsia"/>
          <w:b/>
          <w:sz w:val="21"/>
          <w:szCs w:val="21"/>
        </w:rPr>
        <w:t>、开标评标时间：</w:t>
      </w:r>
      <w:r>
        <w:rPr>
          <w:rFonts w:hint="eastAsia" w:asciiTheme="minorEastAsia" w:hAnsiTheme="minorEastAsia" w:eastAsiaTheme="minorEastAsia" w:cstheme="minorEastAsia"/>
          <w:sz w:val="21"/>
          <w:szCs w:val="21"/>
          <w:u w:val="single"/>
        </w:rPr>
        <w:t>201</w:t>
      </w:r>
      <w:r>
        <w:rPr>
          <w:rFonts w:hint="eastAsia" w:asciiTheme="minorEastAsia" w:hAnsiTheme="minorEastAsia" w:eastAsiaTheme="minorEastAsia" w:cstheme="minorEastAsia"/>
          <w:sz w:val="21"/>
          <w:szCs w:val="21"/>
          <w:u w:val="single"/>
          <w:lang w:val="en-US" w:eastAsia="zh-CN"/>
        </w:rPr>
        <w:t>9</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2</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26</w:t>
      </w:r>
      <w:r>
        <w:rPr>
          <w:rFonts w:hint="eastAsia" w:asciiTheme="minorEastAsia" w:hAnsiTheme="minorEastAsia" w:eastAsiaTheme="minorEastAsia" w:cstheme="minorEastAsia"/>
          <w:sz w:val="21"/>
          <w:szCs w:val="21"/>
          <w:u w:val="single"/>
        </w:rPr>
        <w:t>日</w:t>
      </w:r>
      <w:r>
        <w:rPr>
          <w:rFonts w:hint="eastAsia" w:asciiTheme="minorEastAsia" w:hAnsiTheme="minorEastAsia" w:eastAsiaTheme="minorEastAsia" w:cstheme="minorEastAsia"/>
          <w:sz w:val="21"/>
          <w:szCs w:val="21"/>
          <w:u w:val="single"/>
          <w:lang w:val="en-US" w:eastAsia="zh-CN"/>
        </w:rPr>
        <w:t>09</w:t>
      </w:r>
      <w:r>
        <w:rPr>
          <w:rFonts w:hint="eastAsia" w:asciiTheme="minorEastAsia" w:hAnsiTheme="minorEastAsia" w:eastAsiaTheme="minorEastAsia" w:cstheme="minorEastAsia"/>
          <w:sz w:val="21"/>
          <w:szCs w:val="21"/>
          <w:u w:val="single"/>
        </w:rPr>
        <w:t>时</w:t>
      </w:r>
      <w:r>
        <w:rPr>
          <w:rFonts w:hint="eastAsia" w:asciiTheme="minorEastAsia" w:hAnsiTheme="minorEastAsia" w:eastAsiaTheme="minorEastAsia" w:cstheme="minorEastAsia"/>
          <w:sz w:val="21"/>
          <w:szCs w:val="21"/>
          <w:u w:val="single"/>
          <w:lang w:val="en-US" w:eastAsia="zh-CN"/>
        </w:rPr>
        <w:t>30</w:t>
      </w:r>
      <w:r>
        <w:rPr>
          <w:rFonts w:hint="eastAsia" w:asciiTheme="minorEastAsia" w:hAnsiTheme="minorEastAsia" w:eastAsiaTheme="minorEastAsia" w:cstheme="minorEastAsia"/>
          <w:sz w:val="21"/>
          <w:szCs w:val="21"/>
          <w:u w:val="single"/>
        </w:rPr>
        <w:t>分</w:t>
      </w:r>
      <w:r>
        <w:rPr>
          <w:rFonts w:hint="eastAsia" w:asciiTheme="minorEastAsia" w:hAnsiTheme="minorEastAsia" w:eastAsiaTheme="minorEastAsia" w:cstheme="minorEastAsia"/>
          <w:sz w:val="21"/>
          <w:szCs w:val="21"/>
        </w:rPr>
        <w:t>。</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十</w:t>
      </w:r>
      <w:r>
        <w:rPr>
          <w:rFonts w:hint="eastAsia" w:asciiTheme="minorEastAsia" w:hAnsiTheme="minorEastAsia" w:eastAsiaTheme="minorEastAsia" w:cstheme="minorEastAsia"/>
          <w:b/>
          <w:sz w:val="21"/>
          <w:szCs w:val="21"/>
          <w:lang w:eastAsia="zh-CN"/>
        </w:rPr>
        <w:t>四</w:t>
      </w:r>
      <w:r>
        <w:rPr>
          <w:rFonts w:hint="eastAsia" w:asciiTheme="minorEastAsia" w:hAnsiTheme="minorEastAsia" w:eastAsiaTheme="minorEastAsia" w:cstheme="minorEastAsia"/>
          <w:b/>
          <w:sz w:val="21"/>
          <w:szCs w:val="21"/>
        </w:rPr>
        <w:t>、投标文件递交及开标评标地点：</w:t>
      </w:r>
      <w:r>
        <w:rPr>
          <w:rFonts w:hint="eastAsia" w:asciiTheme="minorEastAsia" w:hAnsiTheme="minorEastAsia" w:eastAsiaTheme="minorEastAsia" w:cstheme="minorEastAsia"/>
          <w:sz w:val="21"/>
          <w:szCs w:val="21"/>
        </w:rPr>
        <w:t>中山市博爱六路22号行政服务中心二楼中山市公共资源交易中心（详见开标当天交易大厅开标室安排）。</w:t>
      </w:r>
    </w:p>
    <w:p>
      <w:pPr>
        <w:spacing w:line="360" w:lineRule="auto"/>
        <w:ind w:left="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十</w:t>
      </w:r>
      <w:r>
        <w:rPr>
          <w:rFonts w:hint="eastAsia" w:asciiTheme="minorEastAsia" w:hAnsiTheme="minorEastAsia" w:eastAsiaTheme="minorEastAsia" w:cstheme="minorEastAsia"/>
          <w:b/>
          <w:sz w:val="21"/>
          <w:szCs w:val="21"/>
          <w:lang w:eastAsia="zh-CN"/>
        </w:rPr>
        <w:t>五</w:t>
      </w:r>
      <w:r>
        <w:rPr>
          <w:rFonts w:hint="eastAsia" w:asciiTheme="minorEastAsia" w:hAnsiTheme="minorEastAsia" w:eastAsiaTheme="minorEastAsia" w:cstheme="minorEastAsia"/>
          <w:b/>
          <w:sz w:val="21"/>
          <w:szCs w:val="21"/>
        </w:rPr>
        <w:t>、招标人、主管部门、招标代理机构及中山市公共资源交易中心综合部的名称、地址和联系方式：</w:t>
      </w:r>
    </w:p>
    <w:p>
      <w:pPr>
        <w:widowControl w:val="0"/>
        <w:numPr>
          <w:ilvl w:val="0"/>
          <w:numId w:val="12"/>
        </w:numPr>
        <w:adjustRightInd w:val="0"/>
        <w:snapToGrid w:val="0"/>
        <w:spacing w:line="360" w:lineRule="auto"/>
        <w:jc w:val="both"/>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招标人联系方式</w:t>
      </w:r>
    </w:p>
    <w:p>
      <w:pPr>
        <w:tabs>
          <w:tab w:val="left" w:pos="567"/>
          <w:tab w:val="left" w:pos="1890"/>
        </w:tabs>
        <w:autoSpaceDE w:val="0"/>
        <w:autoSpaceDN w:val="0"/>
        <w:spacing w:line="360" w:lineRule="auto"/>
        <w:ind w:firstLine="420" w:firstLineChars="200"/>
        <w:textAlignment w:val="bottom"/>
        <w:rPr>
          <w:rFonts w:hint="eastAsia" w:asciiTheme="minorEastAsia" w:hAnsiTheme="minorEastAsia" w:eastAsiaTheme="minorEastAsia" w:cstheme="minorEastAsia"/>
          <w:kern w:val="28"/>
          <w:sz w:val="21"/>
          <w:szCs w:val="21"/>
        </w:rPr>
      </w:pPr>
      <w:r>
        <w:rPr>
          <w:rFonts w:hint="eastAsia" w:asciiTheme="minorEastAsia" w:hAnsiTheme="minorEastAsia" w:eastAsiaTheme="minorEastAsia" w:cstheme="minorEastAsia"/>
          <w:kern w:val="28"/>
          <w:sz w:val="21"/>
          <w:szCs w:val="21"/>
        </w:rPr>
        <w:t>招</w:t>
      </w:r>
      <w:r>
        <w:rPr>
          <w:rFonts w:hint="eastAsia" w:asciiTheme="minorEastAsia" w:hAnsiTheme="minorEastAsia" w:eastAsiaTheme="minorEastAsia" w:cstheme="minorEastAsia"/>
          <w:kern w:val="28"/>
          <w:sz w:val="21"/>
          <w:szCs w:val="21"/>
          <w:lang w:val="en-US" w:eastAsia="zh-CN"/>
        </w:rPr>
        <w:t xml:space="preserve">  </w:t>
      </w:r>
      <w:r>
        <w:rPr>
          <w:rFonts w:hint="eastAsia" w:asciiTheme="minorEastAsia" w:hAnsiTheme="minorEastAsia" w:eastAsiaTheme="minorEastAsia" w:cstheme="minorEastAsia"/>
          <w:kern w:val="28"/>
          <w:sz w:val="21"/>
          <w:szCs w:val="21"/>
        </w:rPr>
        <w:t>标</w:t>
      </w:r>
      <w:r>
        <w:rPr>
          <w:rFonts w:hint="eastAsia" w:asciiTheme="minorEastAsia" w:hAnsiTheme="minorEastAsia" w:eastAsiaTheme="minorEastAsia" w:cstheme="minorEastAsia"/>
          <w:kern w:val="28"/>
          <w:sz w:val="21"/>
          <w:szCs w:val="21"/>
          <w:lang w:val="en-US" w:eastAsia="zh-CN"/>
        </w:rPr>
        <w:t xml:space="preserve"> </w:t>
      </w:r>
      <w:r>
        <w:rPr>
          <w:rFonts w:hint="eastAsia" w:asciiTheme="minorEastAsia" w:hAnsiTheme="minorEastAsia" w:eastAsiaTheme="minorEastAsia" w:cstheme="minorEastAsia"/>
          <w:kern w:val="28"/>
          <w:sz w:val="21"/>
          <w:szCs w:val="21"/>
        </w:rPr>
        <w:t>人：中山市坦洲镇污水处理有限公司</w:t>
      </w:r>
    </w:p>
    <w:p>
      <w:pPr>
        <w:tabs>
          <w:tab w:val="left" w:pos="567"/>
          <w:tab w:val="left" w:pos="1890"/>
        </w:tabs>
        <w:autoSpaceDE w:val="0"/>
        <w:autoSpaceDN w:val="0"/>
        <w:spacing w:line="360" w:lineRule="auto"/>
        <w:ind w:firstLine="420" w:firstLineChars="200"/>
        <w:textAlignment w:val="bottom"/>
        <w:rPr>
          <w:rFonts w:hint="eastAsia" w:asciiTheme="minorEastAsia" w:hAnsiTheme="minorEastAsia" w:eastAsiaTheme="minorEastAsia" w:cstheme="minorEastAsia"/>
          <w:kern w:val="28"/>
          <w:sz w:val="21"/>
          <w:szCs w:val="21"/>
        </w:rPr>
      </w:pPr>
      <w:r>
        <w:rPr>
          <w:rFonts w:hint="eastAsia" w:asciiTheme="minorEastAsia" w:hAnsiTheme="minorEastAsia" w:eastAsiaTheme="minorEastAsia" w:cstheme="minorEastAsia"/>
          <w:kern w:val="28"/>
          <w:sz w:val="21"/>
          <w:szCs w:val="21"/>
        </w:rPr>
        <w:t>联</w:t>
      </w:r>
      <w:r>
        <w:rPr>
          <w:rFonts w:hint="eastAsia" w:asciiTheme="minorEastAsia" w:hAnsiTheme="minorEastAsia" w:eastAsiaTheme="minorEastAsia" w:cstheme="minorEastAsia"/>
          <w:kern w:val="28"/>
          <w:sz w:val="21"/>
          <w:szCs w:val="21"/>
          <w:lang w:val="en-US" w:eastAsia="zh-CN"/>
        </w:rPr>
        <w:t xml:space="preserve">  </w:t>
      </w:r>
      <w:r>
        <w:rPr>
          <w:rFonts w:hint="eastAsia" w:asciiTheme="minorEastAsia" w:hAnsiTheme="minorEastAsia" w:eastAsiaTheme="minorEastAsia" w:cstheme="minorEastAsia"/>
          <w:kern w:val="28"/>
          <w:sz w:val="21"/>
          <w:szCs w:val="21"/>
        </w:rPr>
        <w:t>系</w:t>
      </w:r>
      <w:r>
        <w:rPr>
          <w:rFonts w:hint="eastAsia" w:asciiTheme="minorEastAsia" w:hAnsiTheme="minorEastAsia" w:eastAsiaTheme="minorEastAsia" w:cstheme="minorEastAsia"/>
          <w:kern w:val="28"/>
          <w:sz w:val="21"/>
          <w:szCs w:val="21"/>
          <w:lang w:val="en-US" w:eastAsia="zh-CN"/>
        </w:rPr>
        <w:t xml:space="preserve"> </w:t>
      </w:r>
      <w:r>
        <w:rPr>
          <w:rFonts w:hint="eastAsia" w:asciiTheme="minorEastAsia" w:hAnsiTheme="minorEastAsia" w:eastAsiaTheme="minorEastAsia" w:cstheme="minorEastAsia"/>
          <w:kern w:val="28"/>
          <w:sz w:val="21"/>
          <w:szCs w:val="21"/>
        </w:rPr>
        <w:t>人：陈先生</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8"/>
          <w:sz w:val="21"/>
          <w:szCs w:val="21"/>
        </w:rPr>
        <w:t>联系电话：0760-86639336</w:t>
      </w:r>
    </w:p>
    <w:p>
      <w:pPr>
        <w:numPr>
          <w:ilvl w:val="0"/>
          <w:numId w:val="13"/>
        </w:num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主管部门联系方式</w:t>
      </w:r>
    </w:p>
    <w:p>
      <w:pPr>
        <w:numPr>
          <w:ilvl w:val="0"/>
          <w:numId w:val="14"/>
        </w:numPr>
        <w:tabs>
          <w:tab w:val="left" w:pos="567"/>
          <w:tab w:val="left" w:pos="1890"/>
        </w:tabs>
        <w:autoSpaceDE w:val="0"/>
        <w:autoSpaceDN w:val="0"/>
        <w:spacing w:line="360" w:lineRule="auto"/>
        <w:textAlignment w:val="bottom"/>
        <w:rPr>
          <w:rFonts w:hint="eastAsia" w:asciiTheme="minorEastAsia" w:hAnsiTheme="minorEastAsia" w:eastAsiaTheme="minorEastAsia" w:cstheme="minorEastAsia"/>
          <w:kern w:val="28"/>
          <w:sz w:val="21"/>
          <w:szCs w:val="21"/>
        </w:rPr>
      </w:pPr>
      <w:r>
        <w:rPr>
          <w:rFonts w:hint="eastAsia" w:asciiTheme="minorEastAsia" w:hAnsiTheme="minorEastAsia" w:eastAsiaTheme="minorEastAsia" w:cstheme="minorEastAsia"/>
          <w:kern w:val="28"/>
          <w:sz w:val="21"/>
          <w:szCs w:val="21"/>
        </w:rPr>
        <w:t>监管部门：中山市坦洲镇公有资产管理办公室</w:t>
      </w:r>
    </w:p>
    <w:p>
      <w:pPr>
        <w:tabs>
          <w:tab w:val="left" w:pos="567"/>
          <w:tab w:val="left" w:pos="1890"/>
        </w:tabs>
        <w:autoSpaceDE w:val="0"/>
        <w:autoSpaceDN w:val="0"/>
        <w:spacing w:line="360" w:lineRule="auto"/>
        <w:ind w:firstLine="420" w:firstLineChars="200"/>
        <w:textAlignment w:val="bottom"/>
        <w:rPr>
          <w:rFonts w:hint="eastAsia" w:asciiTheme="minorEastAsia" w:hAnsiTheme="minorEastAsia" w:eastAsiaTheme="minorEastAsia" w:cstheme="minorEastAsia"/>
          <w:kern w:val="28"/>
          <w:sz w:val="21"/>
          <w:szCs w:val="21"/>
        </w:rPr>
      </w:pPr>
      <w:r>
        <w:rPr>
          <w:rFonts w:hint="eastAsia" w:asciiTheme="minorEastAsia" w:hAnsiTheme="minorEastAsia" w:eastAsiaTheme="minorEastAsia" w:cstheme="minorEastAsia"/>
          <w:kern w:val="28"/>
          <w:sz w:val="21"/>
          <w:szCs w:val="21"/>
        </w:rPr>
        <w:t xml:space="preserve">地  </w:t>
      </w:r>
      <w:r>
        <w:rPr>
          <w:rFonts w:hint="eastAsia" w:asciiTheme="minorEastAsia" w:hAnsiTheme="minorEastAsia" w:eastAsiaTheme="minorEastAsia" w:cstheme="minorEastAsia"/>
          <w:kern w:val="28"/>
          <w:sz w:val="21"/>
          <w:szCs w:val="21"/>
          <w:lang w:val="en-US" w:eastAsia="zh-CN"/>
        </w:rPr>
        <w:t xml:space="preserve">  </w:t>
      </w:r>
      <w:r>
        <w:rPr>
          <w:rFonts w:hint="eastAsia" w:asciiTheme="minorEastAsia" w:hAnsiTheme="minorEastAsia" w:eastAsiaTheme="minorEastAsia" w:cstheme="minorEastAsia"/>
          <w:kern w:val="28"/>
          <w:sz w:val="21"/>
          <w:szCs w:val="21"/>
        </w:rPr>
        <w:t>址：中山市坦洲镇工业大道70号副楼303室</w:t>
      </w:r>
    </w:p>
    <w:p>
      <w:pPr>
        <w:tabs>
          <w:tab w:val="left" w:pos="567"/>
          <w:tab w:val="left" w:pos="1890"/>
        </w:tabs>
        <w:autoSpaceDE w:val="0"/>
        <w:autoSpaceDN w:val="0"/>
        <w:spacing w:line="360" w:lineRule="auto"/>
        <w:ind w:firstLine="420" w:firstLineChars="200"/>
        <w:textAlignment w:val="bottom"/>
        <w:rPr>
          <w:rFonts w:hint="eastAsia" w:asciiTheme="minorEastAsia" w:hAnsiTheme="minorEastAsia" w:eastAsiaTheme="minorEastAsia" w:cstheme="minorEastAsia"/>
          <w:kern w:val="28"/>
          <w:sz w:val="21"/>
          <w:szCs w:val="21"/>
        </w:rPr>
      </w:pPr>
      <w:r>
        <w:rPr>
          <w:rFonts w:hint="eastAsia" w:asciiTheme="minorEastAsia" w:hAnsiTheme="minorEastAsia" w:eastAsiaTheme="minorEastAsia" w:cstheme="minorEastAsia"/>
          <w:kern w:val="28"/>
          <w:sz w:val="21"/>
          <w:szCs w:val="21"/>
        </w:rPr>
        <w:t>联系人：谭燕茹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8"/>
          <w:sz w:val="21"/>
          <w:szCs w:val="21"/>
        </w:rPr>
        <w:t>电</w:t>
      </w:r>
      <w:r>
        <w:rPr>
          <w:rFonts w:hint="eastAsia" w:asciiTheme="minorEastAsia" w:hAnsiTheme="minorEastAsia" w:eastAsiaTheme="minorEastAsia" w:cstheme="minorEastAsia"/>
          <w:kern w:val="28"/>
          <w:sz w:val="21"/>
          <w:szCs w:val="21"/>
          <w:lang w:val="en-US" w:eastAsia="zh-CN"/>
        </w:rPr>
        <w:t xml:space="preserve">  </w:t>
      </w:r>
      <w:r>
        <w:rPr>
          <w:rFonts w:hint="eastAsia" w:asciiTheme="minorEastAsia" w:hAnsiTheme="minorEastAsia" w:eastAsiaTheme="minorEastAsia" w:cstheme="minorEastAsia"/>
          <w:kern w:val="28"/>
          <w:sz w:val="21"/>
          <w:szCs w:val="21"/>
        </w:rPr>
        <w:t xml:space="preserve">  话：0760-86651809</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 招标代理机构联系方式</w:t>
      </w:r>
    </w:p>
    <w:p>
      <w:pPr>
        <w:spacing w:line="360" w:lineRule="auto"/>
        <w:ind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招标代理机构名称：</w:t>
      </w:r>
      <w:r>
        <w:rPr>
          <w:rFonts w:hint="eastAsia" w:asciiTheme="minorEastAsia" w:hAnsiTheme="minorEastAsia" w:eastAsiaTheme="minorEastAsia" w:cstheme="minorEastAsia"/>
          <w:sz w:val="21"/>
          <w:szCs w:val="21"/>
          <w:lang w:eastAsia="zh-CN"/>
        </w:rPr>
        <w:t>华联世纪工程咨询股份有限公司中山分公司</w:t>
      </w:r>
    </w:p>
    <w:p>
      <w:pPr>
        <w:spacing w:line="360" w:lineRule="auto"/>
        <w:ind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联</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系</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人：</w:t>
      </w:r>
      <w:r>
        <w:rPr>
          <w:rFonts w:hint="eastAsia" w:asciiTheme="minorEastAsia" w:hAnsiTheme="minorEastAsia" w:eastAsiaTheme="minorEastAsia" w:cstheme="minorEastAsia"/>
          <w:sz w:val="21"/>
          <w:szCs w:val="21"/>
          <w:lang w:eastAsia="zh-CN"/>
        </w:rPr>
        <w:t>许小姐</w:t>
      </w:r>
    </w:p>
    <w:p>
      <w:pPr>
        <w:spacing w:line="360" w:lineRule="auto"/>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地    址：中山市五桂山镇领东上筑花园商铺1卡</w:t>
      </w:r>
    </w:p>
    <w:p>
      <w:pPr>
        <w:spacing w:line="360" w:lineRule="auto"/>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电    话：</w:t>
      </w:r>
      <w:r>
        <w:rPr>
          <w:rFonts w:hint="eastAsia" w:asciiTheme="minorEastAsia" w:hAnsiTheme="minorEastAsia" w:eastAsiaTheme="minorEastAsia" w:cstheme="minorEastAsia"/>
          <w:sz w:val="21"/>
          <w:szCs w:val="21"/>
          <w:lang w:val="en-US" w:eastAsia="zh-CN"/>
        </w:rPr>
        <w:t>18676444475</w:t>
      </w:r>
    </w:p>
    <w:p>
      <w:pPr>
        <w:spacing w:line="360" w:lineRule="auto"/>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传    真：0760-</w:t>
      </w:r>
      <w:r>
        <w:rPr>
          <w:rFonts w:hint="eastAsia" w:asciiTheme="minorEastAsia" w:hAnsiTheme="minorEastAsia" w:eastAsiaTheme="minorEastAsia" w:cstheme="minorEastAsia"/>
          <w:sz w:val="21"/>
          <w:szCs w:val="21"/>
          <w:lang w:val="en-US" w:eastAsia="zh-CN"/>
        </w:rPr>
        <w:t>88869878</w:t>
      </w:r>
    </w:p>
    <w:p>
      <w:pPr>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电子邮箱：531549420@</w:t>
      </w:r>
      <w:r>
        <w:rPr>
          <w:rFonts w:hint="eastAsia" w:asciiTheme="minorEastAsia" w:hAnsiTheme="minorEastAsia" w:eastAsiaTheme="minorEastAsia" w:cstheme="minorEastAsia"/>
          <w:sz w:val="21"/>
          <w:szCs w:val="21"/>
          <w:lang w:val="en-US" w:eastAsia="zh-CN"/>
        </w:rPr>
        <w:t>qq</w:t>
      </w:r>
      <w:r>
        <w:rPr>
          <w:rFonts w:hint="eastAsia" w:asciiTheme="minorEastAsia" w:hAnsiTheme="minorEastAsia" w:eastAsiaTheme="minorEastAsia" w:cstheme="minorEastAsia"/>
          <w:sz w:val="21"/>
          <w:szCs w:val="21"/>
        </w:rPr>
        <w:t>.com</w:t>
      </w:r>
    </w:p>
    <w:p>
      <w:pPr>
        <w:widowControl w:val="0"/>
        <w:adjustRightInd w:val="0"/>
        <w:snapToGrid w:val="0"/>
        <w:spacing w:line="360" w:lineRule="auto"/>
        <w:jc w:val="both"/>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 中山市公共资源交易中心综合部联系方式</w:t>
      </w:r>
    </w:p>
    <w:p>
      <w:pPr>
        <w:spacing w:line="360" w:lineRule="auto"/>
        <w:ind w:left="420" w:left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系</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人：何小姐</w:t>
      </w:r>
    </w:p>
    <w:p>
      <w:pPr>
        <w:spacing w:line="360" w:lineRule="auto"/>
        <w:ind w:left="420" w:left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址：中山市博爱六路22号行政服务中心二楼D区业务大厅</w:t>
      </w:r>
    </w:p>
    <w:p>
      <w:pPr>
        <w:spacing w:line="360" w:lineRule="auto"/>
        <w:ind w:left="420" w:left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    话：</w:t>
      </w:r>
      <w:r>
        <w:rPr>
          <w:rFonts w:hint="eastAsia" w:asciiTheme="minorEastAsia" w:hAnsiTheme="minorEastAsia" w:eastAsiaTheme="minorEastAsia" w:cstheme="minorEastAsia"/>
          <w:bCs/>
          <w:sz w:val="21"/>
          <w:szCs w:val="21"/>
        </w:rPr>
        <w:t>0760-89817366</w:t>
      </w:r>
    </w:p>
    <w:p>
      <w:pPr>
        <w:spacing w:line="360" w:lineRule="auto"/>
        <w:rPr>
          <w:rFonts w:hint="eastAsia" w:asciiTheme="minorEastAsia" w:hAnsiTheme="minorEastAsia" w:eastAsiaTheme="minorEastAsia" w:cstheme="minorEastAsia"/>
          <w:b/>
          <w:bCs/>
          <w:sz w:val="21"/>
          <w:szCs w:val="21"/>
        </w:rPr>
      </w:pPr>
    </w:p>
    <w:p>
      <w:pPr>
        <w:spacing w:line="360" w:lineRule="auto"/>
        <w:rPr>
          <w:rFonts w:hint="eastAsia" w:asciiTheme="minorEastAsia" w:hAnsiTheme="minorEastAsia" w:eastAsiaTheme="minorEastAsia" w:cstheme="minorEastAsia"/>
          <w:b/>
          <w:bCs/>
          <w:sz w:val="21"/>
          <w:szCs w:val="21"/>
        </w:rPr>
      </w:pPr>
    </w:p>
    <w:p>
      <w:pPr>
        <w:spacing w:line="360" w:lineRule="auto"/>
        <w:ind w:left="700" w:right="210"/>
        <w:jc w:val="right"/>
        <w:rPr>
          <w:rFonts w:hint="eastAsia" w:asciiTheme="minorEastAsia" w:hAnsiTheme="minorEastAsia" w:eastAsiaTheme="minorEastAsia" w:cstheme="minorEastAsia"/>
          <w:sz w:val="21"/>
          <w:szCs w:val="21"/>
          <w:lang w:eastAsia="zh-CN"/>
        </w:rPr>
      </w:pPr>
    </w:p>
    <w:p>
      <w:pPr>
        <w:pStyle w:val="2"/>
        <w:rPr>
          <w:rFonts w:hint="eastAsia" w:asciiTheme="minorEastAsia" w:hAnsiTheme="minorEastAsia" w:eastAsiaTheme="minorEastAsia" w:cstheme="minorEastAsia"/>
          <w:sz w:val="21"/>
          <w:szCs w:val="21"/>
          <w:lang w:eastAsia="zh-CN"/>
        </w:rPr>
      </w:pPr>
    </w:p>
    <w:bookmarkEnd w:id="3"/>
    <w:p>
      <w:pPr>
        <w:spacing w:line="4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华联世纪工程咨询股份有限公司中山分公司</w:t>
      </w:r>
    </w:p>
    <w:p>
      <w:pPr>
        <w:tabs>
          <w:tab w:val="left" w:pos="1190"/>
        </w:tabs>
        <w:spacing w:line="360" w:lineRule="auto"/>
        <w:rPr>
          <w:rStyle w:val="52"/>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val="0"/>
          <w:sz w:val="21"/>
          <w:szCs w:val="21"/>
        </w:rPr>
        <w:t xml:space="preserve">                                                   201</w:t>
      </w:r>
      <w:r>
        <w:rPr>
          <w:rFonts w:hint="eastAsia" w:asciiTheme="minorEastAsia" w:hAnsiTheme="minorEastAsia" w:eastAsiaTheme="minorEastAsia" w:cstheme="minorEastAsia"/>
          <w:b w:val="0"/>
          <w:sz w:val="21"/>
          <w:szCs w:val="21"/>
          <w:lang w:val="en-US" w:eastAsia="zh-CN"/>
        </w:rPr>
        <w:t>9</w:t>
      </w:r>
      <w:r>
        <w:rPr>
          <w:rFonts w:hint="eastAsia" w:asciiTheme="minorEastAsia" w:hAnsiTheme="minorEastAsia" w:eastAsiaTheme="minorEastAsia" w:cstheme="minorEastAsia"/>
          <w:b w:val="0"/>
          <w:sz w:val="21"/>
          <w:szCs w:val="21"/>
        </w:rPr>
        <w:t>年</w:t>
      </w:r>
      <w:r>
        <w:rPr>
          <w:rFonts w:hint="eastAsia" w:asciiTheme="minorEastAsia" w:hAnsiTheme="minorEastAsia" w:eastAsiaTheme="minorEastAsia" w:cstheme="minorEastAsia"/>
          <w:b w:val="0"/>
          <w:sz w:val="21"/>
          <w:szCs w:val="21"/>
          <w:lang w:val="en-US" w:eastAsia="zh-CN"/>
        </w:rPr>
        <w:t>1</w:t>
      </w:r>
      <w:r>
        <w:rPr>
          <w:rFonts w:hint="eastAsia" w:asciiTheme="minorEastAsia" w:hAnsiTheme="minorEastAsia" w:eastAsiaTheme="minorEastAsia" w:cstheme="minorEastAsia"/>
          <w:b w:val="0"/>
          <w:sz w:val="21"/>
          <w:szCs w:val="21"/>
        </w:rPr>
        <w:t>月</w:t>
      </w:r>
      <w:r>
        <w:rPr>
          <w:rFonts w:hint="eastAsia" w:asciiTheme="minorEastAsia" w:hAnsiTheme="minorEastAsia" w:eastAsiaTheme="minorEastAsia" w:cstheme="minorEastAsia"/>
          <w:b w:val="0"/>
          <w:sz w:val="21"/>
          <w:szCs w:val="21"/>
          <w:lang w:val="en-US" w:eastAsia="zh-CN"/>
        </w:rPr>
        <w:t>18</w:t>
      </w:r>
      <w:r>
        <w:rPr>
          <w:rFonts w:hint="eastAsia" w:asciiTheme="minorEastAsia" w:hAnsiTheme="minorEastAsia" w:eastAsiaTheme="minorEastAsia" w:cstheme="minorEastAsia"/>
          <w:b w:val="0"/>
          <w:sz w:val="21"/>
          <w:szCs w:val="21"/>
        </w:rPr>
        <w:t>日</w:t>
      </w: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spacing w:line="460" w:lineRule="exact"/>
        <w:rPr>
          <w:rFonts w:ascii="Times New Roman"/>
        </w:rPr>
      </w:pPr>
      <w:bookmarkStart w:id="6" w:name="_Toc9244"/>
      <w:r>
        <w:rPr>
          <w:rFonts w:ascii="Times New Roman"/>
        </w:rPr>
        <w:t>第二部分   用 户 需 求 书</w:t>
      </w:r>
      <w:bookmarkEnd w:id="6"/>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jc w:val="center"/>
        <w:rPr>
          <w:b/>
          <w:bCs/>
          <w:sz w:val="32"/>
          <w:szCs w:val="32"/>
        </w:rPr>
      </w:pPr>
      <w:bookmarkStart w:id="7" w:name="_Toc339618457"/>
      <w:bookmarkStart w:id="8" w:name="_Toc391976265"/>
      <w:bookmarkStart w:id="9" w:name="_Toc436823879"/>
      <w:bookmarkStart w:id="10" w:name="_Toc418151854"/>
      <w:bookmarkStart w:id="11" w:name="_Toc436741510"/>
      <w:bookmarkStart w:id="12" w:name="_Toc436824212"/>
      <w:r>
        <w:rPr>
          <w:b/>
          <w:bCs/>
          <w:sz w:val="32"/>
          <w:szCs w:val="32"/>
        </w:rPr>
        <w:t>总   则</w:t>
      </w:r>
      <w:bookmarkEnd w:id="7"/>
      <w:bookmarkEnd w:id="8"/>
      <w:bookmarkEnd w:id="9"/>
      <w:bookmarkEnd w:id="10"/>
      <w:bookmarkEnd w:id="11"/>
      <w:bookmarkEnd w:id="12"/>
    </w:p>
    <w:p>
      <w:pPr>
        <w:tabs>
          <w:tab w:val="left" w:pos="1365"/>
        </w:tabs>
        <w:spacing w:line="360" w:lineRule="auto"/>
        <w:ind w:left="420"/>
      </w:pPr>
      <w:bookmarkStart w:id="13" w:name="_Hlt4491564"/>
      <w:bookmarkEnd w:id="13"/>
    </w:p>
    <w:p>
      <w:pPr>
        <w:numPr>
          <w:ilvl w:val="6"/>
          <w:numId w:val="15"/>
        </w:numPr>
        <w:tabs>
          <w:tab w:val="left" w:pos="424"/>
          <w:tab w:val="clear" w:pos="3240"/>
        </w:tabs>
        <w:spacing w:line="460" w:lineRule="atLeast"/>
        <w:ind w:left="424" w:hanging="424"/>
        <w:rPr>
          <w:sz w:val="24"/>
        </w:rPr>
      </w:pPr>
      <w:r>
        <w:t>投标人所投</w:t>
      </w:r>
      <w:r>
        <w:rPr>
          <w:rFonts w:hint="eastAsia"/>
          <w:lang w:eastAsia="zh-CN"/>
        </w:rPr>
        <w:t>设备</w:t>
      </w:r>
      <w:r>
        <w:rPr>
          <w:rFonts w:hint="eastAsia"/>
          <w:lang w:val="en-US" w:eastAsia="zh-CN"/>
        </w:rPr>
        <w:t>/</w:t>
      </w:r>
      <w:r>
        <w:rPr>
          <w:rFonts w:hint="eastAsia"/>
          <w:bCs/>
          <w:szCs w:val="21"/>
          <w:lang w:eastAsia="zh-CN"/>
        </w:rPr>
        <w:t>产品</w:t>
      </w:r>
      <w:r>
        <w:rPr>
          <w:bCs/>
          <w:szCs w:val="21"/>
        </w:rPr>
        <w:t>的性能应达到参考指标表中所列技术指标及安装要求。投标人在响应建议中必须列出具体数值。如果投标人只注明“符合”或“满足”，或者投标文件所投产品和招标文件要求的技术参数有负偏离，评标委员会保留认定该投标</w:t>
      </w:r>
      <w:r>
        <w:rPr>
          <w:spacing w:val="-6"/>
          <w:szCs w:val="21"/>
        </w:rPr>
        <w:t>响应不足的权利。</w:t>
      </w:r>
    </w:p>
    <w:p>
      <w:pPr>
        <w:numPr>
          <w:ilvl w:val="6"/>
          <w:numId w:val="15"/>
        </w:numPr>
        <w:tabs>
          <w:tab w:val="left" w:pos="424"/>
          <w:tab w:val="clear" w:pos="3240"/>
        </w:tabs>
        <w:spacing w:line="460" w:lineRule="atLeast"/>
        <w:ind w:left="424" w:hanging="424"/>
        <w:rPr>
          <w:highlight w:val="none"/>
        </w:rPr>
      </w:pPr>
      <w:r>
        <w:rPr>
          <w:highlight w:val="none"/>
        </w:rPr>
        <w:t>在招标文件中凡有“★”标识的内容</w:t>
      </w:r>
      <w:r>
        <w:rPr>
          <w:szCs w:val="21"/>
          <w:highlight w:val="none"/>
        </w:rPr>
        <w:t>条款被视为重要的响应要求、技术指标要求和性能要求。投标人必须对此作出回答并完全满足这些要求不可以出现任何负偏离，如果出现负偏离则将被视为无效投标</w:t>
      </w:r>
      <w:r>
        <w:rPr>
          <w:rFonts w:hint="eastAsia"/>
          <w:szCs w:val="21"/>
          <w:highlight w:val="none"/>
          <w:lang w:eastAsia="zh-CN"/>
        </w:rPr>
        <w:t>。</w:t>
      </w:r>
    </w:p>
    <w:p>
      <w:pPr>
        <w:numPr>
          <w:ilvl w:val="6"/>
          <w:numId w:val="15"/>
        </w:numPr>
        <w:tabs>
          <w:tab w:val="left" w:pos="424"/>
          <w:tab w:val="clear" w:pos="3240"/>
        </w:tabs>
        <w:spacing w:line="460" w:lineRule="atLeast"/>
        <w:ind w:left="424" w:hanging="424"/>
        <w:rPr>
          <w:szCs w:val="21"/>
        </w:rPr>
      </w:pPr>
      <w:r>
        <w:rPr>
          <w:szCs w:val="21"/>
        </w:rPr>
        <w:t>本项目由中标人承包及负责招标文件对中标人要求的一切事宜及责任。</w:t>
      </w:r>
    </w:p>
    <w:p>
      <w:pPr>
        <w:numPr>
          <w:ilvl w:val="6"/>
          <w:numId w:val="15"/>
        </w:numPr>
        <w:tabs>
          <w:tab w:val="left" w:pos="424"/>
          <w:tab w:val="clear" w:pos="3240"/>
        </w:tabs>
        <w:spacing w:line="460" w:lineRule="atLeast"/>
        <w:ind w:left="424" w:hanging="424"/>
        <w:rPr>
          <w:szCs w:val="21"/>
          <w:highlight w:val="none"/>
        </w:rPr>
      </w:pPr>
      <w:r>
        <w:rPr>
          <w:szCs w:val="21"/>
          <w:highlight w:val="none"/>
        </w:rPr>
        <w:t>本项目不接受联合投标。中标人未经招标人批准，不得以任何方式转包或分包本项目。</w:t>
      </w: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r>
        <w:br w:type="page"/>
      </w:r>
    </w:p>
    <w:p>
      <w:pPr>
        <w:pStyle w:val="3"/>
        <w:jc w:val="center"/>
        <w:rPr>
          <w:color w:val="000000"/>
          <w:sz w:val="44"/>
          <w:szCs w:val="44"/>
        </w:rPr>
      </w:pPr>
      <w:bookmarkStart w:id="14" w:name="_Toc423877756"/>
      <w:r>
        <w:rPr>
          <w:rFonts w:hint="eastAsia"/>
          <w:color w:val="000000"/>
          <w:sz w:val="32"/>
          <w:szCs w:val="32"/>
        </w:rPr>
        <w:t>第二部分  用户需求书</w:t>
      </w:r>
      <w:bookmarkEnd w:id="14"/>
    </w:p>
    <w:p>
      <w:pPr>
        <w:tabs>
          <w:tab w:val="left" w:pos="636"/>
        </w:tabs>
        <w:spacing w:line="360" w:lineRule="auto"/>
        <w:rPr>
          <w:rFonts w:ascii="宋体" w:hAnsi="宋体"/>
          <w:b/>
          <w:color w:val="000000"/>
          <w:szCs w:val="21"/>
        </w:rPr>
      </w:pPr>
      <w:bookmarkStart w:id="15" w:name="_Toc182836733"/>
      <w:r>
        <w:rPr>
          <w:rFonts w:hint="eastAsia" w:ascii="宋体" w:hAnsi="宋体"/>
          <w:b/>
          <w:color w:val="000000"/>
          <w:szCs w:val="21"/>
        </w:rPr>
        <w:t>一、项目需求</w:t>
      </w:r>
    </w:p>
    <w:p>
      <w:pPr>
        <w:spacing w:line="360" w:lineRule="auto"/>
        <w:rPr>
          <w:rFonts w:ascii="宋体" w:hAnsi="宋体" w:cs="宋体"/>
          <w:color w:val="000000"/>
          <w:szCs w:val="21"/>
        </w:rPr>
      </w:pPr>
      <w:r>
        <w:rPr>
          <w:rFonts w:hint="eastAsia" w:ascii="宋体" w:hAnsi="宋体"/>
          <w:color w:val="000000"/>
          <w:szCs w:val="21"/>
        </w:rPr>
        <w:t>1、采购</w:t>
      </w:r>
      <w:r>
        <w:rPr>
          <w:rFonts w:ascii="宋体" w:hAnsi="宋体"/>
          <w:color w:val="000000"/>
          <w:szCs w:val="21"/>
        </w:rPr>
        <w:t>货物名称：</w:t>
      </w:r>
      <w:r>
        <w:rPr>
          <w:rFonts w:hint="eastAsia" w:ascii="宋体" w:hAnsi="宋体"/>
          <w:color w:val="000000"/>
          <w:szCs w:val="21"/>
        </w:rPr>
        <w:t>过一硫酸氢钾（单过硫酸氢钾）复合杀菌剂</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s="宋体"/>
          <w:color w:val="000000"/>
          <w:szCs w:val="21"/>
        </w:rPr>
        <w:t>、适用对象</w:t>
      </w:r>
      <w:r>
        <w:rPr>
          <w:rFonts w:ascii="宋体" w:hAnsi="宋体" w:cs="宋体"/>
          <w:color w:val="000000"/>
          <w:szCs w:val="21"/>
        </w:rPr>
        <w:t>：</w:t>
      </w:r>
      <w:r>
        <w:rPr>
          <w:rFonts w:hint="eastAsia" w:ascii="宋体" w:hAnsi="宋体" w:cs="宋体"/>
          <w:color w:val="000000"/>
          <w:szCs w:val="21"/>
        </w:rPr>
        <w:t>用于城市污水处理厂尾水消毒</w:t>
      </w:r>
    </w:p>
    <w:p>
      <w:pPr>
        <w:spacing w:line="360" w:lineRule="auto"/>
        <w:rPr>
          <w:rFonts w:ascii="宋体" w:hAnsi="宋体"/>
          <w:color w:val="000000"/>
          <w:szCs w:val="21"/>
        </w:rPr>
      </w:pPr>
      <w:r>
        <w:rPr>
          <w:rFonts w:hint="eastAsia" w:ascii="宋体" w:hAnsi="宋体"/>
          <w:color w:val="000000"/>
          <w:szCs w:val="21"/>
        </w:rPr>
        <w:t>3、数量</w:t>
      </w:r>
      <w:r>
        <w:rPr>
          <w:rFonts w:ascii="宋体" w:hAnsi="宋体"/>
          <w:color w:val="000000"/>
          <w:szCs w:val="21"/>
        </w:rPr>
        <w:t>：</w:t>
      </w:r>
      <w:r>
        <w:rPr>
          <w:rFonts w:hint="eastAsia" w:ascii="宋体" w:hAnsi="宋体"/>
          <w:color w:val="000000"/>
          <w:szCs w:val="21"/>
          <w:lang w:val="en-US" w:eastAsia="zh-CN"/>
        </w:rPr>
        <w:t>38.88</w:t>
      </w:r>
      <w:r>
        <w:rPr>
          <w:rFonts w:hint="eastAsia" w:ascii="宋体" w:hAnsi="宋体"/>
          <w:color w:val="000000"/>
          <w:szCs w:val="21"/>
        </w:rPr>
        <w:t>吨</w:t>
      </w:r>
    </w:p>
    <w:p>
      <w:pPr>
        <w:spacing w:line="360" w:lineRule="auto"/>
        <w:rPr>
          <w:rFonts w:ascii="宋体" w:hAnsi="宋体"/>
          <w:color w:val="000000"/>
          <w:szCs w:val="21"/>
        </w:rPr>
      </w:pPr>
      <w:r>
        <w:rPr>
          <w:rFonts w:hint="eastAsia" w:ascii="宋体" w:hAnsi="宋体" w:cs="宋体"/>
          <w:color w:val="000000"/>
          <w:szCs w:val="21"/>
        </w:rPr>
        <w:t>4、技术指标要求：</w:t>
      </w:r>
    </w:p>
    <w:tbl>
      <w:tblPr>
        <w:tblStyle w:val="55"/>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896"/>
        <w:gridCol w:w="4377"/>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05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产品名称</w:t>
            </w:r>
          </w:p>
        </w:tc>
        <w:tc>
          <w:tcPr>
            <w:tcW w:w="189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规格参数</w:t>
            </w:r>
          </w:p>
        </w:tc>
        <w:tc>
          <w:tcPr>
            <w:tcW w:w="437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技术要求</w:t>
            </w:r>
          </w:p>
        </w:tc>
        <w:tc>
          <w:tcPr>
            <w:tcW w:w="216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056" w:type="dxa"/>
            <w:vMerge w:val="restart"/>
            <w:vAlign w:val="center"/>
          </w:tcPr>
          <w:p>
            <w:pPr>
              <w:spacing w:line="360" w:lineRule="auto"/>
              <w:jc w:val="center"/>
              <w:rPr>
                <w:rFonts w:ascii="宋体" w:hAnsi="宋体" w:cs="宋体"/>
                <w:color w:val="000000"/>
                <w:szCs w:val="21"/>
              </w:rPr>
            </w:pPr>
            <w:r>
              <w:rPr>
                <w:rFonts w:hint="eastAsia" w:ascii="宋体" w:hAnsi="宋体" w:cs="宋体"/>
                <w:color w:val="000000"/>
                <w:szCs w:val="21"/>
              </w:rPr>
              <w:t>单过硫酸氢离钾复合杀菌剂</w:t>
            </w:r>
          </w:p>
        </w:tc>
        <w:tc>
          <w:tcPr>
            <w:tcW w:w="189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外观</w:t>
            </w:r>
            <w:r>
              <w:rPr>
                <w:rFonts w:ascii="宋体" w:hAnsi="宋体" w:cs="宋体"/>
                <w:color w:val="000000"/>
                <w:szCs w:val="21"/>
              </w:rPr>
              <w:t>要求</w:t>
            </w:r>
          </w:p>
        </w:tc>
        <w:tc>
          <w:tcPr>
            <w:tcW w:w="4377" w:type="dxa"/>
            <w:vAlign w:val="center"/>
          </w:tcPr>
          <w:p>
            <w:pPr>
              <w:spacing w:line="360" w:lineRule="auto"/>
              <w:rPr>
                <w:rFonts w:ascii="宋体" w:hAnsi="宋体" w:cs="宋体"/>
                <w:color w:val="000000"/>
                <w:szCs w:val="21"/>
              </w:rPr>
            </w:pPr>
            <w:r>
              <w:rPr>
                <w:rFonts w:hint="eastAsia" w:ascii="宋体" w:hAnsi="宋体" w:cs="宋体"/>
                <w:color w:val="000000"/>
                <w:szCs w:val="21"/>
              </w:rPr>
              <w:t>白色粉末</w:t>
            </w:r>
          </w:p>
        </w:tc>
        <w:tc>
          <w:tcPr>
            <w:tcW w:w="2160" w:type="dxa"/>
            <w:vAlign w:val="center"/>
          </w:tcPr>
          <w:p>
            <w:pPr>
              <w:spacing w:line="360" w:lineRule="auto"/>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★活性氧含量</w:t>
            </w:r>
          </w:p>
        </w:tc>
        <w:tc>
          <w:tcPr>
            <w:tcW w:w="4377" w:type="dxa"/>
            <w:vAlign w:val="center"/>
          </w:tcPr>
          <w:p>
            <w:pPr>
              <w:spacing w:line="360" w:lineRule="auto"/>
              <w:rPr>
                <w:rFonts w:ascii="宋体" w:hAnsi="宋体" w:cs="宋体"/>
                <w:szCs w:val="21"/>
              </w:rPr>
            </w:pPr>
            <w:r>
              <w:rPr>
                <w:rFonts w:hint="eastAsia" w:ascii="宋体" w:hAnsi="宋体" w:cs="宋体"/>
                <w:szCs w:val="21"/>
              </w:rPr>
              <w:t>活性氧含量≥8%</w:t>
            </w:r>
          </w:p>
        </w:tc>
        <w:tc>
          <w:tcPr>
            <w:tcW w:w="2160" w:type="dxa"/>
            <w:vAlign w:val="center"/>
          </w:tcPr>
          <w:p>
            <w:pPr>
              <w:spacing w:line="360" w:lineRule="auto"/>
              <w:rPr>
                <w:rFonts w:ascii="宋体" w:hAnsi="宋体" w:cs="宋体"/>
                <w:szCs w:val="21"/>
              </w:rPr>
            </w:pPr>
            <w:r>
              <w:rPr>
                <w:rFonts w:hint="eastAsia" w:ascii="宋体" w:hAnsi="宋体" w:cs="宋体"/>
                <w:szCs w:val="21"/>
              </w:rPr>
              <w:t>　投标人需给出具体的数据，并提供第三方检验报告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★气味</w:t>
            </w:r>
          </w:p>
        </w:tc>
        <w:tc>
          <w:tcPr>
            <w:tcW w:w="4377" w:type="dxa"/>
            <w:vAlign w:val="center"/>
          </w:tcPr>
          <w:p>
            <w:pPr>
              <w:spacing w:line="360" w:lineRule="auto"/>
              <w:rPr>
                <w:rFonts w:ascii="宋体" w:hAnsi="宋体" w:cs="宋体"/>
                <w:szCs w:val="21"/>
              </w:rPr>
            </w:pPr>
            <w:r>
              <w:rPr>
                <w:rFonts w:hint="eastAsia" w:ascii="宋体" w:hAnsi="宋体" w:cs="宋体"/>
                <w:szCs w:val="21"/>
              </w:rPr>
              <w:t>无强烈刺激性气味，不会引起人体不适。</w:t>
            </w:r>
          </w:p>
        </w:tc>
        <w:tc>
          <w:tcPr>
            <w:tcW w:w="2160" w:type="dxa"/>
            <w:vAlign w:val="center"/>
          </w:tcPr>
          <w:p>
            <w:pPr>
              <w:spacing w:line="360" w:lineRule="auto"/>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溶解性能</w:t>
            </w:r>
          </w:p>
        </w:tc>
        <w:tc>
          <w:tcPr>
            <w:tcW w:w="4377" w:type="dxa"/>
            <w:vAlign w:val="center"/>
          </w:tcPr>
          <w:p>
            <w:pPr>
              <w:spacing w:line="360" w:lineRule="auto"/>
              <w:rPr>
                <w:rFonts w:ascii="宋体" w:hAnsi="宋体" w:cs="宋体"/>
                <w:szCs w:val="21"/>
              </w:rPr>
            </w:pPr>
            <w:r>
              <w:rPr>
                <w:rFonts w:hint="eastAsia" w:ascii="宋体" w:hAnsi="宋体" w:cs="宋体"/>
                <w:szCs w:val="21"/>
                <w:lang w:eastAsia="zh-CN"/>
              </w:rPr>
              <w:t>易溶于水，且溶解度＞</w:t>
            </w:r>
            <w:r>
              <w:rPr>
                <w:rFonts w:hint="eastAsia" w:ascii="宋体" w:hAnsi="宋体" w:cs="宋体"/>
                <w:szCs w:val="21"/>
                <w:lang w:val="en-US" w:eastAsia="zh-CN"/>
              </w:rPr>
              <w:t>1%，</w:t>
            </w:r>
            <w:r>
              <w:rPr>
                <w:rFonts w:hint="eastAsia" w:ascii="宋体" w:hAnsi="宋体" w:cs="宋体"/>
                <w:szCs w:val="21"/>
              </w:rPr>
              <w:t>溶液：配制1%-2%浓度，溶解</w:t>
            </w:r>
            <w:r>
              <w:rPr>
                <w:rFonts w:ascii="宋体" w:hAnsi="宋体" w:cs="宋体"/>
                <w:szCs w:val="21"/>
              </w:rPr>
              <w:t>速度</w:t>
            </w:r>
            <w:r>
              <w:rPr>
                <w:rFonts w:hint="eastAsia" w:ascii="宋体" w:hAnsi="宋体" w:cs="宋体"/>
                <w:szCs w:val="21"/>
              </w:rPr>
              <w:t>≤30分钟</w:t>
            </w:r>
          </w:p>
        </w:tc>
        <w:tc>
          <w:tcPr>
            <w:tcW w:w="2160" w:type="dxa"/>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★药耗</w:t>
            </w:r>
          </w:p>
        </w:tc>
        <w:tc>
          <w:tcPr>
            <w:tcW w:w="4377" w:type="dxa"/>
            <w:vAlign w:val="center"/>
          </w:tcPr>
          <w:p>
            <w:pPr>
              <w:spacing w:line="360" w:lineRule="auto"/>
              <w:rPr>
                <w:rFonts w:ascii="宋体" w:hAnsi="宋体" w:cs="宋体"/>
                <w:szCs w:val="21"/>
              </w:rPr>
            </w:pPr>
            <w:r>
              <w:rPr>
                <w:rFonts w:hint="eastAsia" w:ascii="宋体" w:hAnsi="宋体" w:cs="宋体"/>
                <w:szCs w:val="21"/>
              </w:rPr>
              <w:t>执行《GB</w:t>
            </w:r>
            <w:r>
              <w:rPr>
                <w:rFonts w:ascii="宋体" w:hAnsi="宋体" w:cs="宋体"/>
                <w:szCs w:val="21"/>
              </w:rPr>
              <w:t>18918-2002</w:t>
            </w:r>
            <w:r>
              <w:rPr>
                <w:rFonts w:hint="eastAsia" w:ascii="宋体" w:hAnsi="宋体" w:cs="宋体"/>
                <w:szCs w:val="21"/>
              </w:rPr>
              <w:t>》排放标准中一级</w:t>
            </w:r>
            <w:r>
              <w:rPr>
                <w:rFonts w:ascii="宋体" w:hAnsi="宋体" w:cs="宋体"/>
                <w:szCs w:val="21"/>
              </w:rPr>
              <w:t>A</w:t>
            </w:r>
            <w:r>
              <w:rPr>
                <w:rFonts w:hint="eastAsia" w:ascii="宋体" w:hAnsi="宋体" w:cs="宋体"/>
                <w:szCs w:val="21"/>
              </w:rPr>
              <w:t>标标准，消毒每吨水消耗药剂≤5mg</w:t>
            </w:r>
            <w:r>
              <w:rPr>
                <w:rFonts w:ascii="宋体" w:hAnsi="宋体" w:cs="宋体"/>
                <w:szCs w:val="21"/>
              </w:rPr>
              <w:t>/</w:t>
            </w:r>
            <w:r>
              <w:rPr>
                <w:rFonts w:hint="eastAsia" w:ascii="宋体" w:hAnsi="宋体" w:cs="宋体"/>
                <w:szCs w:val="21"/>
              </w:rPr>
              <w:t>l</w:t>
            </w:r>
          </w:p>
        </w:tc>
        <w:tc>
          <w:tcPr>
            <w:tcW w:w="2160" w:type="dxa"/>
            <w:vAlign w:val="center"/>
          </w:tcPr>
          <w:p>
            <w:pPr>
              <w:spacing w:line="360" w:lineRule="auto"/>
              <w:rPr>
                <w:rFonts w:hint="eastAsia" w:ascii="宋体" w:hAnsi="宋体" w:eastAsia="宋体" w:cs="宋体"/>
                <w:szCs w:val="21"/>
                <w:lang w:eastAsia="zh-CN"/>
              </w:rPr>
            </w:pPr>
            <w:r>
              <w:rPr>
                <w:rFonts w:hint="eastAsia" w:ascii="宋体" w:hAnsi="宋体" w:cs="宋体"/>
                <w:szCs w:val="21"/>
              </w:rPr>
              <w:t>投标人需给出具体</w:t>
            </w:r>
            <w:r>
              <w:rPr>
                <w:rFonts w:hint="eastAsia" w:ascii="宋体" w:hAnsi="宋体" w:cs="宋体"/>
                <w:szCs w:val="21"/>
                <w:lang w:eastAsia="zh-CN"/>
              </w:rPr>
              <w:t>药耗</w:t>
            </w:r>
            <w:r>
              <w:rPr>
                <w:rFonts w:hint="eastAsia" w:ascii="宋体" w:hAnsi="宋体" w:cs="宋体"/>
                <w:szCs w:val="21"/>
              </w:rPr>
              <w:t>的</w:t>
            </w:r>
            <w:r>
              <w:rPr>
                <w:rFonts w:hint="eastAsia" w:ascii="宋体" w:hAnsi="宋体" w:cs="宋体"/>
                <w:szCs w:val="21"/>
                <w:lang w:eastAsia="zh-C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★包装规格</w:t>
            </w:r>
          </w:p>
        </w:tc>
        <w:tc>
          <w:tcPr>
            <w:tcW w:w="4377" w:type="dxa"/>
            <w:vAlign w:val="center"/>
          </w:tcPr>
          <w:p>
            <w:pPr>
              <w:spacing w:line="360" w:lineRule="auto"/>
              <w:rPr>
                <w:rFonts w:ascii="宋体" w:hAnsi="宋体" w:cs="宋体"/>
                <w:szCs w:val="21"/>
              </w:rPr>
            </w:pPr>
            <w:r>
              <w:rPr>
                <w:rFonts w:hint="eastAsia" w:ascii="宋体" w:hAnsi="宋体" w:cs="宋体"/>
                <w:szCs w:val="21"/>
              </w:rPr>
              <w:t>包装品具有防湿、防潮的性能，每件≤</w:t>
            </w:r>
            <w:r>
              <w:rPr>
                <w:rFonts w:ascii="宋体" w:hAnsi="宋体" w:cs="宋体"/>
                <w:szCs w:val="21"/>
              </w:rPr>
              <w:t>30</w:t>
            </w:r>
            <w:r>
              <w:rPr>
                <w:rFonts w:hint="eastAsia" w:ascii="宋体" w:hAnsi="宋体" w:cs="宋体"/>
                <w:szCs w:val="21"/>
              </w:rPr>
              <w:t xml:space="preserve">KG/ </w:t>
            </w:r>
          </w:p>
        </w:tc>
        <w:tc>
          <w:tcPr>
            <w:tcW w:w="2160" w:type="dxa"/>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★使用</w:t>
            </w:r>
            <w:r>
              <w:rPr>
                <w:rFonts w:ascii="宋体" w:hAnsi="宋体" w:cs="宋体"/>
                <w:szCs w:val="21"/>
              </w:rPr>
              <w:t>成本</w:t>
            </w:r>
          </w:p>
        </w:tc>
        <w:tc>
          <w:tcPr>
            <w:tcW w:w="4377" w:type="dxa"/>
            <w:vAlign w:val="center"/>
          </w:tcPr>
          <w:p>
            <w:pPr>
              <w:spacing w:line="360" w:lineRule="auto"/>
              <w:rPr>
                <w:rFonts w:ascii="宋体" w:hAnsi="宋体" w:cs="宋体"/>
                <w:szCs w:val="21"/>
              </w:rPr>
            </w:pPr>
            <w:r>
              <w:rPr>
                <w:rFonts w:hint="eastAsia" w:ascii="宋体" w:hAnsi="宋体" w:cs="宋体"/>
                <w:szCs w:val="21"/>
              </w:rPr>
              <w:t>执行《GB</w:t>
            </w:r>
            <w:r>
              <w:rPr>
                <w:rFonts w:ascii="宋体" w:hAnsi="宋体" w:cs="宋体"/>
                <w:szCs w:val="21"/>
              </w:rPr>
              <w:t>18918-2002</w:t>
            </w:r>
            <w:r>
              <w:rPr>
                <w:rFonts w:hint="eastAsia" w:ascii="宋体" w:hAnsi="宋体" w:cs="宋体"/>
                <w:szCs w:val="21"/>
              </w:rPr>
              <w:t>》排放标准中一级</w:t>
            </w:r>
            <w:r>
              <w:rPr>
                <w:rFonts w:ascii="宋体" w:hAnsi="宋体" w:cs="宋体"/>
                <w:szCs w:val="21"/>
              </w:rPr>
              <w:t>A</w:t>
            </w:r>
            <w:r>
              <w:rPr>
                <w:rFonts w:hint="eastAsia" w:ascii="宋体" w:hAnsi="宋体" w:cs="宋体"/>
                <w:szCs w:val="21"/>
              </w:rPr>
              <w:t>标标准每消毒一吨水所需费用≤0.3元</w:t>
            </w:r>
          </w:p>
        </w:tc>
        <w:tc>
          <w:tcPr>
            <w:tcW w:w="2160" w:type="dxa"/>
            <w:vAlign w:val="center"/>
          </w:tcPr>
          <w:p>
            <w:pPr>
              <w:spacing w:line="360" w:lineRule="auto"/>
              <w:rPr>
                <w:rFonts w:ascii="宋体" w:hAnsi="宋体" w:cs="宋体"/>
                <w:szCs w:val="21"/>
              </w:rPr>
            </w:pPr>
            <w:r>
              <w:rPr>
                <w:rFonts w:hint="eastAsia" w:ascii="宋体" w:hAnsi="宋体" w:cs="宋体"/>
                <w:szCs w:val="21"/>
              </w:rPr>
              <w:t>投标人需给出具体的</w:t>
            </w:r>
            <w:r>
              <w:rPr>
                <w:rFonts w:hint="eastAsia" w:ascii="宋体" w:hAnsi="宋体" w:cs="宋体"/>
                <w:szCs w:val="21"/>
                <w:lang w:eastAsia="zh-CN"/>
              </w:rPr>
              <w:t>使用成本数值</w:t>
            </w:r>
            <w:r>
              <w:rPr>
                <w:rFonts w:hint="eastAsia" w:ascii="宋体" w:hAnsi="宋体" w:cs="宋体"/>
                <w:szCs w:val="21"/>
              </w:rPr>
              <w:t>，</w:t>
            </w:r>
            <w:r>
              <w:rPr>
                <w:rFonts w:hint="eastAsia" w:ascii="宋体" w:hAnsi="宋体" w:cs="宋体"/>
                <w:szCs w:val="21"/>
                <w:lang w:eastAsia="zh-CN"/>
              </w:rPr>
              <w:t>计算依据方法：</w:t>
            </w:r>
            <w:r>
              <w:rPr>
                <w:rFonts w:hint="eastAsia" w:ascii="宋体" w:hAnsi="宋体" w:cs="宋体"/>
                <w:szCs w:val="21"/>
              </w:rPr>
              <w:t>使用</w:t>
            </w:r>
            <w:r>
              <w:rPr>
                <w:rFonts w:ascii="宋体" w:hAnsi="宋体" w:cs="宋体"/>
                <w:szCs w:val="21"/>
              </w:rPr>
              <w:t>成本=药耗</w:t>
            </w:r>
            <w:r>
              <w:rPr>
                <w:rFonts w:hint="eastAsia" w:ascii="宋体" w:hAnsi="宋体" w:cs="宋体"/>
                <w:szCs w:val="21"/>
              </w:rPr>
              <w:t>×</w:t>
            </w:r>
            <w:r>
              <w:rPr>
                <w:rFonts w:ascii="宋体" w:hAnsi="宋体" w:cs="宋体"/>
                <w:szCs w:val="21"/>
              </w:rPr>
              <w:t>每公斤单价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★保质期</w:t>
            </w:r>
          </w:p>
        </w:tc>
        <w:tc>
          <w:tcPr>
            <w:tcW w:w="4377" w:type="dxa"/>
            <w:vAlign w:val="center"/>
          </w:tcPr>
          <w:p>
            <w:pPr>
              <w:spacing w:line="360" w:lineRule="auto"/>
              <w:rPr>
                <w:rFonts w:ascii="宋体" w:hAnsi="宋体" w:cs="宋体"/>
                <w:color w:val="000000"/>
                <w:szCs w:val="21"/>
              </w:rPr>
            </w:pPr>
            <w:r>
              <w:rPr>
                <w:rFonts w:hint="eastAsia" w:ascii="宋体" w:hAnsi="宋体" w:cs="宋体"/>
                <w:color w:val="000000"/>
                <w:szCs w:val="21"/>
              </w:rPr>
              <w:t>24个</w:t>
            </w:r>
            <w:r>
              <w:rPr>
                <w:rFonts w:ascii="宋体" w:hAnsi="宋体" w:cs="宋体"/>
                <w:color w:val="000000"/>
                <w:szCs w:val="21"/>
              </w:rPr>
              <w:t>月</w:t>
            </w:r>
            <w:r>
              <w:rPr>
                <w:rFonts w:hint="eastAsia" w:ascii="宋体" w:hAnsi="宋体" w:cs="宋体"/>
                <w:color w:val="000000"/>
                <w:szCs w:val="21"/>
              </w:rPr>
              <w:t>及以上</w:t>
            </w:r>
          </w:p>
        </w:tc>
        <w:tc>
          <w:tcPr>
            <w:tcW w:w="2160" w:type="dxa"/>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储存及运输</w:t>
            </w:r>
          </w:p>
        </w:tc>
        <w:tc>
          <w:tcPr>
            <w:tcW w:w="4377" w:type="dxa"/>
            <w:vAlign w:val="center"/>
          </w:tcPr>
          <w:p>
            <w:pPr>
              <w:spacing w:line="360" w:lineRule="auto"/>
              <w:rPr>
                <w:rFonts w:ascii="宋体" w:hAnsi="宋体" w:cs="宋体"/>
                <w:color w:val="000000"/>
                <w:szCs w:val="21"/>
              </w:rPr>
            </w:pPr>
            <w:r>
              <w:rPr>
                <w:rFonts w:hint="eastAsia" w:ascii="宋体" w:hAnsi="宋体" w:cs="宋体"/>
                <w:color w:val="000000"/>
                <w:szCs w:val="21"/>
              </w:rPr>
              <w:t>运输，储存，使用过程中安全，环保，不产生泄露爆炸等危险</w:t>
            </w:r>
          </w:p>
        </w:tc>
        <w:tc>
          <w:tcPr>
            <w:tcW w:w="2160" w:type="dxa"/>
            <w:vAlign w:val="center"/>
          </w:tcPr>
          <w:p>
            <w:pPr>
              <w:spacing w:line="360" w:lineRule="auto"/>
              <w:rPr>
                <w:rFonts w:ascii="宋体" w:hAnsi="宋体" w:cs="宋体"/>
                <w:color w:val="000000"/>
                <w:szCs w:val="21"/>
              </w:rPr>
            </w:pPr>
          </w:p>
        </w:tc>
      </w:tr>
    </w:tbl>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产品贮存期：每批出厂的产品都应附有质量证明书，要求到货日期距离贮存期截止日期大于</w:t>
      </w:r>
      <w:r>
        <w:rPr>
          <w:rFonts w:hint="eastAsia" w:ascii="宋体" w:hAnsi="宋体" w:cs="宋体"/>
          <w:color w:val="000000"/>
          <w:szCs w:val="21"/>
        </w:rPr>
        <w:t>20</w:t>
      </w:r>
      <w:r>
        <w:rPr>
          <w:rFonts w:ascii="宋体" w:hAnsi="宋体" w:cs="宋体"/>
          <w:color w:val="000000"/>
          <w:szCs w:val="21"/>
        </w:rPr>
        <w:t>个月。</w:t>
      </w:r>
      <w:r>
        <w:rPr>
          <w:rFonts w:ascii="宋体" w:hAnsi="宋体" w:cs="宋体"/>
          <w:color w:val="000000"/>
          <w:szCs w:val="21"/>
        </w:rPr>
        <w:br w:type="textWrapping"/>
      </w:r>
      <w:r>
        <w:rPr>
          <w:rFonts w:hint="eastAsia" w:ascii="宋体" w:hAnsi="宋体" w:cs="宋体"/>
          <w:color w:val="000000"/>
          <w:szCs w:val="21"/>
        </w:rPr>
        <w:t>6、</w:t>
      </w:r>
      <w:r>
        <w:rPr>
          <w:rFonts w:ascii="宋体" w:hAnsi="宋体" w:cs="宋体"/>
          <w:color w:val="000000"/>
          <w:szCs w:val="21"/>
        </w:rPr>
        <w:t>数量签收：需方在货物数量验收中若发现</w:t>
      </w:r>
      <w:r>
        <w:rPr>
          <w:rFonts w:hint="eastAsia" w:ascii="宋体" w:hAnsi="宋体" w:cs="宋体"/>
          <w:color w:val="000000"/>
          <w:szCs w:val="21"/>
        </w:rPr>
        <w:t>包装</w:t>
      </w:r>
      <w:r>
        <w:rPr>
          <w:rFonts w:ascii="宋体" w:hAnsi="宋体" w:cs="宋体"/>
          <w:color w:val="000000"/>
          <w:szCs w:val="21"/>
        </w:rPr>
        <w:t>净重量不足</w:t>
      </w:r>
      <w:r>
        <w:rPr>
          <w:rFonts w:hint="eastAsia" w:ascii="宋体" w:hAnsi="宋体" w:cs="宋体"/>
          <w:color w:val="000000"/>
          <w:szCs w:val="21"/>
        </w:rPr>
        <w:t>包装</w:t>
      </w:r>
      <w:r>
        <w:rPr>
          <w:rFonts w:ascii="宋体" w:hAnsi="宋体" w:cs="宋体"/>
          <w:color w:val="000000"/>
          <w:szCs w:val="21"/>
        </w:rPr>
        <w:t>标称总量±0.2kg，该批按最低单袋净重量结算、并按重量不足部份追究双倍赔付违约金。</w:t>
      </w:r>
    </w:p>
    <w:p>
      <w:pPr>
        <w:tabs>
          <w:tab w:val="right" w:pos="9815"/>
        </w:tabs>
        <w:spacing w:line="360" w:lineRule="auto"/>
        <w:rPr>
          <w:rFonts w:ascii="宋体" w:hAnsi="宋体" w:cs="宋体"/>
          <w:color w:val="000000"/>
          <w:szCs w:val="21"/>
        </w:rPr>
      </w:pPr>
      <w:r>
        <w:rPr>
          <w:rFonts w:hint="eastAsia" w:ascii="宋体" w:hAnsi="宋体" w:cs="宋体"/>
          <w:color w:val="000000"/>
          <w:szCs w:val="21"/>
        </w:rPr>
        <w:t>7、交货时间：</w:t>
      </w:r>
      <w:r>
        <w:rPr>
          <w:rFonts w:hint="eastAsia" w:ascii="宋体" w:hAnsi="宋体" w:cs="宋体"/>
          <w:color w:val="000000"/>
          <w:spacing w:val="5"/>
          <w:szCs w:val="21"/>
        </w:rPr>
        <w:t>自合同签订之日起1</w:t>
      </w:r>
      <w:r>
        <w:rPr>
          <w:rFonts w:ascii="宋体" w:hAnsi="宋体" w:cs="宋体"/>
          <w:color w:val="000000"/>
          <w:spacing w:val="5"/>
          <w:szCs w:val="21"/>
        </w:rPr>
        <w:t>5</w:t>
      </w:r>
      <w:r>
        <w:rPr>
          <w:rFonts w:hint="eastAsia" w:ascii="宋体" w:hAnsi="宋体" w:cs="宋体"/>
          <w:color w:val="000000"/>
          <w:spacing w:val="5"/>
          <w:szCs w:val="21"/>
        </w:rPr>
        <w:t>个工作日内交货。</w:t>
      </w:r>
      <w:r>
        <w:rPr>
          <w:rFonts w:ascii="宋体" w:hAnsi="宋体" w:cs="宋体"/>
          <w:color w:val="000000"/>
          <w:spacing w:val="5"/>
          <w:szCs w:val="21"/>
        </w:rPr>
        <w:tab/>
      </w:r>
    </w:p>
    <w:p>
      <w:pPr>
        <w:spacing w:line="360" w:lineRule="auto"/>
        <w:rPr>
          <w:rFonts w:ascii="宋体" w:hAnsi="宋体" w:cs="宋体"/>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二、项目要求：</w:t>
      </w:r>
    </w:p>
    <w:p>
      <w:pPr>
        <w:spacing w:line="360" w:lineRule="auto"/>
        <w:rPr>
          <w:rFonts w:ascii="宋体" w:hAnsi="宋体" w:cs="宋体"/>
          <w:color w:val="000000"/>
          <w:szCs w:val="21"/>
        </w:rPr>
      </w:pPr>
      <w:r>
        <w:rPr>
          <w:rFonts w:hint="eastAsia" w:ascii="宋体" w:hAnsi="宋体" w:cs="宋体"/>
          <w:color w:val="000000"/>
          <w:szCs w:val="21"/>
        </w:rPr>
        <w:t>1、投标人须提供全新合格的货物，并保证原装正货。</w:t>
      </w:r>
    </w:p>
    <w:p>
      <w:pPr>
        <w:spacing w:line="360" w:lineRule="auto"/>
        <w:rPr>
          <w:rFonts w:ascii="宋体" w:hAnsi="宋体" w:cs="宋体"/>
          <w:color w:val="000000"/>
          <w:szCs w:val="21"/>
        </w:rPr>
      </w:pPr>
      <w:r>
        <w:rPr>
          <w:rFonts w:hint="eastAsia" w:ascii="宋体" w:hAnsi="宋体" w:cs="宋体"/>
          <w:color w:val="000000"/>
          <w:szCs w:val="21"/>
        </w:rPr>
        <w:t xml:space="preserve">2、★投标人提供的货物必须是原厂生产未经拆封的全新正品，相关标签明晰，证票齐全，包装完好。 </w:t>
      </w:r>
    </w:p>
    <w:p>
      <w:pPr>
        <w:spacing w:line="360" w:lineRule="auto"/>
        <w:rPr>
          <w:rFonts w:ascii="宋体" w:hAnsi="宋体" w:cs="宋体"/>
          <w:color w:val="000000"/>
          <w:szCs w:val="21"/>
        </w:rPr>
      </w:pPr>
      <w:r>
        <w:rPr>
          <w:rFonts w:hint="eastAsia" w:ascii="宋体" w:hAnsi="宋体" w:cs="宋体"/>
          <w:color w:val="000000"/>
          <w:szCs w:val="21"/>
        </w:rPr>
        <w:t>3、本招标文件用户需求书中凡标有星号“★”的地方均被视为重要的响应要求、技术指标要求和性能要求。投标人要特别加以注意且必须完全满足这些要求不可以任何偏离。任何偏离将导致废标。</w:t>
      </w:r>
    </w:p>
    <w:p>
      <w:pPr>
        <w:spacing w:line="360" w:lineRule="auto"/>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highlight w:val="none"/>
        </w:rPr>
        <w:t>、★投标人</w:t>
      </w:r>
      <w:r>
        <w:rPr>
          <w:rFonts w:ascii="宋体" w:hAnsi="宋体" w:cs="宋体"/>
          <w:color w:val="000000"/>
          <w:szCs w:val="21"/>
          <w:highlight w:val="none"/>
        </w:rPr>
        <w:t>除提供货物外还应</w:t>
      </w:r>
      <w:r>
        <w:rPr>
          <w:rFonts w:hint="eastAsia" w:ascii="宋体" w:hAnsi="宋体" w:cs="宋体"/>
          <w:color w:val="000000"/>
          <w:szCs w:val="21"/>
          <w:highlight w:val="none"/>
        </w:rPr>
        <w:t>免费</w:t>
      </w:r>
      <w:r>
        <w:rPr>
          <w:rFonts w:ascii="宋体" w:hAnsi="宋体" w:cs="宋体"/>
          <w:color w:val="000000"/>
          <w:szCs w:val="21"/>
          <w:highlight w:val="none"/>
        </w:rPr>
        <w:t>提供配套药剂快速溶解</w:t>
      </w:r>
      <w:r>
        <w:rPr>
          <w:rFonts w:hint="eastAsia" w:ascii="宋体" w:hAnsi="宋体" w:cs="宋体"/>
          <w:color w:val="000000"/>
          <w:szCs w:val="21"/>
          <w:highlight w:val="none"/>
        </w:rPr>
        <w:t>设备</w:t>
      </w:r>
      <w:r>
        <w:rPr>
          <w:rFonts w:hint="eastAsia" w:ascii="宋体" w:hAnsi="宋体" w:cs="宋体"/>
          <w:color w:val="000000"/>
          <w:szCs w:val="21"/>
          <w:highlight w:val="none"/>
          <w:lang w:eastAsia="zh-CN"/>
        </w:rPr>
        <w:t>给采购人使用</w:t>
      </w:r>
      <w:r>
        <w:rPr>
          <w:rFonts w:hint="eastAsia" w:ascii="宋体" w:hAnsi="宋体" w:cs="宋体"/>
          <w:color w:val="000000"/>
          <w:szCs w:val="21"/>
          <w:highlight w:val="none"/>
        </w:rPr>
        <w:t>（</w:t>
      </w:r>
      <w:r>
        <w:rPr>
          <w:rFonts w:hint="eastAsia" w:ascii="宋体" w:hAnsi="宋体" w:cs="宋体"/>
          <w:color w:val="000000"/>
          <w:szCs w:val="21"/>
        </w:rPr>
        <w:t>单过硫酸氢钾复合消毒粉溶解设备1台），配套</w:t>
      </w:r>
      <w:r>
        <w:rPr>
          <w:rFonts w:ascii="宋体" w:hAnsi="宋体" w:cs="宋体"/>
          <w:color w:val="000000"/>
          <w:szCs w:val="21"/>
        </w:rPr>
        <w:t>设备应在报价</w:t>
      </w:r>
      <w:r>
        <w:rPr>
          <w:rFonts w:hint="eastAsia" w:ascii="宋体" w:hAnsi="宋体" w:cs="宋体"/>
          <w:color w:val="000000"/>
          <w:szCs w:val="21"/>
        </w:rPr>
        <w:t>明细</w:t>
      </w:r>
      <w:r>
        <w:rPr>
          <w:rFonts w:ascii="宋体" w:hAnsi="宋体" w:cs="宋体"/>
          <w:color w:val="000000"/>
          <w:szCs w:val="21"/>
        </w:rPr>
        <w:t>中列出，并在</w:t>
      </w:r>
      <w:r>
        <w:rPr>
          <w:rFonts w:hint="eastAsia" w:ascii="宋体" w:hAnsi="宋体" w:cs="宋体"/>
          <w:color w:val="000000"/>
          <w:szCs w:val="21"/>
        </w:rPr>
        <w:t>技术</w:t>
      </w:r>
      <w:r>
        <w:rPr>
          <w:rFonts w:ascii="宋体" w:hAnsi="宋体" w:cs="宋体"/>
          <w:color w:val="000000"/>
          <w:szCs w:val="21"/>
        </w:rPr>
        <w:t>方案中</w:t>
      </w:r>
      <w:r>
        <w:rPr>
          <w:rFonts w:hint="eastAsia" w:ascii="宋体" w:hAnsi="宋体" w:cs="宋体"/>
          <w:color w:val="000000"/>
          <w:szCs w:val="21"/>
        </w:rPr>
        <w:t>详细</w:t>
      </w:r>
      <w:r>
        <w:rPr>
          <w:rFonts w:ascii="宋体" w:hAnsi="宋体" w:cs="宋体"/>
          <w:color w:val="000000"/>
          <w:szCs w:val="21"/>
        </w:rPr>
        <w:t>列出配置清单</w:t>
      </w:r>
      <w:r>
        <w:rPr>
          <w:rFonts w:hint="eastAsia" w:ascii="宋体" w:hAnsi="宋体" w:cs="宋体"/>
          <w:color w:val="000000"/>
          <w:szCs w:val="21"/>
        </w:rPr>
        <w:t>（</w:t>
      </w:r>
      <w:r>
        <w:rPr>
          <w:rFonts w:ascii="宋体" w:hAnsi="宋体" w:cs="宋体"/>
          <w:color w:val="000000"/>
          <w:szCs w:val="21"/>
        </w:rPr>
        <w:t>如</w:t>
      </w:r>
      <w:r>
        <w:rPr>
          <w:rFonts w:hint="eastAsia" w:ascii="宋体" w:hAnsi="宋体" w:cs="宋体"/>
          <w:color w:val="000000"/>
          <w:szCs w:val="21"/>
        </w:rPr>
        <w:t>快速</w:t>
      </w:r>
      <w:r>
        <w:rPr>
          <w:rFonts w:ascii="宋体" w:hAnsi="宋体" w:cs="宋体"/>
          <w:color w:val="000000"/>
          <w:szCs w:val="21"/>
        </w:rPr>
        <w:t>混合器、</w:t>
      </w:r>
      <w:r>
        <w:rPr>
          <w:rFonts w:hint="eastAsia" w:ascii="宋体" w:hAnsi="宋体" w:cs="宋体"/>
          <w:color w:val="000000"/>
          <w:szCs w:val="21"/>
        </w:rPr>
        <w:t>计量</w:t>
      </w:r>
      <w:r>
        <w:rPr>
          <w:rFonts w:ascii="宋体" w:hAnsi="宋体" w:cs="宋体"/>
          <w:color w:val="000000"/>
          <w:szCs w:val="21"/>
        </w:rPr>
        <w:t>泵</w:t>
      </w:r>
      <w:r>
        <w:rPr>
          <w:rFonts w:hint="eastAsia" w:ascii="宋体" w:hAnsi="宋体" w:cs="宋体"/>
          <w:color w:val="000000"/>
          <w:szCs w:val="21"/>
        </w:rPr>
        <w:t>等</w:t>
      </w:r>
      <w:r>
        <w:rPr>
          <w:rFonts w:ascii="宋体" w:hAnsi="宋体" w:cs="宋体"/>
          <w:color w:val="000000"/>
          <w:szCs w:val="21"/>
        </w:rPr>
        <w:t>）及使用原理</w:t>
      </w:r>
      <w:r>
        <w:rPr>
          <w:rFonts w:hint="eastAsia" w:ascii="宋体" w:hAnsi="宋体" w:cs="宋体"/>
          <w:color w:val="000000"/>
          <w:szCs w:val="21"/>
        </w:rPr>
        <w:t>。</w:t>
      </w:r>
    </w:p>
    <w:p>
      <w:pPr>
        <w:spacing w:line="360" w:lineRule="auto"/>
        <w:rPr>
          <w:rFonts w:ascii="宋体" w:hAnsi="宋体" w:cs="宋体"/>
          <w:color w:val="000000"/>
          <w:szCs w:val="21"/>
        </w:rPr>
      </w:pPr>
      <w:r>
        <w:rPr>
          <w:rFonts w:hint="eastAsia" w:ascii="宋体" w:hAnsi="宋体" w:cs="宋体"/>
          <w:color w:val="000000"/>
          <w:szCs w:val="21"/>
        </w:rPr>
        <w:t>5、单过硫酸氢钾复合消毒粉溶解设备</w:t>
      </w:r>
      <w:r>
        <w:rPr>
          <w:rFonts w:ascii="宋体" w:hAnsi="宋体" w:cs="宋体"/>
          <w:color w:val="000000"/>
          <w:szCs w:val="21"/>
        </w:rPr>
        <w:t>的性能参数要求</w:t>
      </w:r>
      <w:r>
        <w:rPr>
          <w:rFonts w:hint="eastAsia" w:ascii="宋体" w:hAnsi="宋体" w:cs="宋体"/>
          <w:color w:val="000000"/>
          <w:szCs w:val="21"/>
        </w:rPr>
        <w:t>:</w:t>
      </w:r>
    </w:p>
    <w:tbl>
      <w:tblPr>
        <w:tblStyle w:val="55"/>
        <w:tblW w:w="8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637"/>
        <w:gridCol w:w="4538"/>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26" w:type="dxa"/>
            <w:vAlign w:val="center"/>
          </w:tcPr>
          <w:p>
            <w:pPr>
              <w:rPr>
                <w:rFonts w:ascii="宋体" w:hAnsi="宋体" w:cs="宋体"/>
                <w:color w:val="000000"/>
                <w:szCs w:val="21"/>
              </w:rPr>
            </w:pPr>
            <w:r>
              <w:rPr>
                <w:rFonts w:hint="eastAsia" w:ascii="宋体" w:hAnsi="宋体" w:cs="宋体"/>
                <w:color w:val="000000"/>
                <w:szCs w:val="21"/>
              </w:rPr>
              <w:t>序号</w:t>
            </w:r>
          </w:p>
        </w:tc>
        <w:tc>
          <w:tcPr>
            <w:tcW w:w="1637" w:type="dxa"/>
            <w:vAlign w:val="center"/>
          </w:tcPr>
          <w:p>
            <w:pPr>
              <w:jc w:val="center"/>
              <w:rPr>
                <w:rFonts w:ascii="宋体" w:hAnsi="宋体" w:cs="宋体"/>
                <w:color w:val="000000"/>
                <w:szCs w:val="21"/>
              </w:rPr>
            </w:pPr>
            <w:r>
              <w:rPr>
                <w:rFonts w:hint="eastAsia" w:ascii="宋体" w:hAnsi="宋体" w:cs="宋体"/>
                <w:color w:val="000000"/>
                <w:szCs w:val="21"/>
              </w:rPr>
              <w:t>性能</w:t>
            </w:r>
            <w:r>
              <w:rPr>
                <w:rFonts w:ascii="宋体" w:hAnsi="宋体" w:cs="宋体"/>
                <w:color w:val="000000"/>
                <w:szCs w:val="21"/>
              </w:rPr>
              <w:t>参数</w:t>
            </w:r>
          </w:p>
        </w:tc>
        <w:tc>
          <w:tcPr>
            <w:tcW w:w="4538" w:type="dxa"/>
            <w:vAlign w:val="center"/>
          </w:tcPr>
          <w:p>
            <w:pPr>
              <w:jc w:val="center"/>
              <w:rPr>
                <w:rFonts w:ascii="宋体" w:hAnsi="宋体" w:cs="宋体"/>
                <w:color w:val="000000"/>
                <w:szCs w:val="21"/>
              </w:rPr>
            </w:pPr>
            <w:r>
              <w:rPr>
                <w:rFonts w:hint="eastAsia" w:ascii="宋体" w:hAnsi="宋体" w:cs="宋体"/>
                <w:color w:val="000000"/>
                <w:szCs w:val="21"/>
              </w:rPr>
              <w:t>规格/要求</w:t>
            </w:r>
          </w:p>
        </w:tc>
        <w:tc>
          <w:tcPr>
            <w:tcW w:w="1764" w:type="dxa"/>
            <w:vAlign w:val="center"/>
          </w:tcPr>
          <w:p>
            <w:pPr>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726"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1637" w:type="dxa"/>
            <w:vAlign w:val="center"/>
          </w:tcPr>
          <w:p>
            <w:pPr>
              <w:jc w:val="center"/>
              <w:rPr>
                <w:rFonts w:ascii="宋体" w:hAnsi="宋体" w:cs="宋体"/>
                <w:color w:val="000000"/>
                <w:szCs w:val="21"/>
              </w:rPr>
            </w:pPr>
            <w:r>
              <w:rPr>
                <w:rFonts w:hint="eastAsia" w:ascii="宋体" w:hAnsi="宋体" w:cs="宋体"/>
                <w:color w:val="000000"/>
                <w:szCs w:val="21"/>
              </w:rPr>
              <w:t>最高输出</w:t>
            </w:r>
            <w:r>
              <w:rPr>
                <w:rFonts w:ascii="宋体" w:hAnsi="宋体" w:cs="宋体"/>
                <w:color w:val="000000"/>
                <w:szCs w:val="21"/>
              </w:rPr>
              <w:t>压力</w:t>
            </w:r>
          </w:p>
        </w:tc>
        <w:tc>
          <w:tcPr>
            <w:tcW w:w="4538" w:type="dxa"/>
            <w:vAlign w:val="center"/>
          </w:tcPr>
          <w:p>
            <w:pPr>
              <w:jc w:val="center"/>
              <w:rPr>
                <w:rFonts w:ascii="宋体" w:hAnsi="宋体" w:cs="宋体"/>
                <w:color w:val="000000"/>
                <w:szCs w:val="21"/>
              </w:rPr>
            </w:pPr>
            <w:r>
              <w:rPr>
                <w:rFonts w:hint="eastAsia" w:ascii="宋体" w:hAnsi="宋体" w:cs="宋体"/>
                <w:color w:val="000000"/>
                <w:szCs w:val="21"/>
              </w:rPr>
              <w:t>0.5MPa</w:t>
            </w:r>
          </w:p>
        </w:tc>
        <w:tc>
          <w:tcPr>
            <w:tcW w:w="176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6"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1637" w:type="dxa"/>
            <w:vAlign w:val="center"/>
          </w:tcPr>
          <w:p>
            <w:pPr>
              <w:jc w:val="center"/>
              <w:rPr>
                <w:rFonts w:ascii="宋体" w:hAnsi="宋体" w:cs="宋体"/>
                <w:color w:val="000000"/>
                <w:szCs w:val="21"/>
              </w:rPr>
            </w:pPr>
            <w:r>
              <w:rPr>
                <w:rFonts w:hint="eastAsia" w:ascii="宋体" w:hAnsi="宋体" w:cs="宋体"/>
                <w:color w:val="000000"/>
                <w:szCs w:val="21"/>
              </w:rPr>
              <w:t>精度</w:t>
            </w:r>
          </w:p>
        </w:tc>
        <w:tc>
          <w:tcPr>
            <w:tcW w:w="4538" w:type="dxa"/>
            <w:vAlign w:val="center"/>
          </w:tcPr>
          <w:p>
            <w:pPr>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w:t>
            </w:r>
          </w:p>
        </w:tc>
        <w:tc>
          <w:tcPr>
            <w:tcW w:w="176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726"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1637" w:type="dxa"/>
            <w:vAlign w:val="center"/>
          </w:tcPr>
          <w:p>
            <w:pPr>
              <w:jc w:val="center"/>
              <w:rPr>
                <w:rFonts w:ascii="宋体" w:hAnsi="宋体" w:cs="宋体"/>
                <w:color w:val="000000"/>
                <w:szCs w:val="21"/>
              </w:rPr>
            </w:pPr>
            <w:r>
              <w:rPr>
                <w:rFonts w:hint="eastAsia" w:ascii="宋体" w:hAnsi="宋体" w:cs="宋体"/>
                <w:color w:val="000000"/>
                <w:szCs w:val="21"/>
              </w:rPr>
              <w:t>流量</w:t>
            </w:r>
          </w:p>
        </w:tc>
        <w:tc>
          <w:tcPr>
            <w:tcW w:w="4538" w:type="dxa"/>
            <w:vAlign w:val="center"/>
          </w:tcPr>
          <w:p>
            <w:pPr>
              <w:jc w:val="center"/>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w:t>
            </w:r>
            <w:r>
              <w:rPr>
                <w:rFonts w:hint="eastAsia" w:ascii="宋体" w:hAnsi="宋体" w:cs="宋体"/>
                <w:color w:val="000000"/>
                <w:szCs w:val="21"/>
              </w:rPr>
              <w:t>420</w:t>
            </w:r>
            <w:r>
              <w:rPr>
                <w:rFonts w:ascii="宋体" w:hAnsi="宋体" w:cs="宋体"/>
                <w:color w:val="000000"/>
                <w:szCs w:val="21"/>
              </w:rPr>
              <w:t>L/h</w:t>
            </w:r>
            <w:r>
              <w:rPr>
                <w:rFonts w:hint="eastAsia" w:ascii="宋体" w:hAnsi="宋体" w:cs="宋体"/>
                <w:color w:val="000000"/>
                <w:szCs w:val="21"/>
              </w:rPr>
              <w:t>可调</w:t>
            </w:r>
          </w:p>
        </w:tc>
        <w:tc>
          <w:tcPr>
            <w:tcW w:w="176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6"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1637" w:type="dxa"/>
            <w:vAlign w:val="center"/>
          </w:tcPr>
          <w:p>
            <w:pPr>
              <w:jc w:val="center"/>
              <w:rPr>
                <w:rFonts w:ascii="宋体" w:hAnsi="宋体" w:cs="宋体"/>
                <w:color w:val="000000"/>
                <w:szCs w:val="21"/>
              </w:rPr>
            </w:pPr>
            <w:r>
              <w:rPr>
                <w:rFonts w:hint="eastAsia" w:ascii="宋体" w:hAnsi="宋体" w:cs="宋体"/>
                <w:color w:val="000000"/>
                <w:szCs w:val="21"/>
              </w:rPr>
              <w:t>功率</w:t>
            </w:r>
          </w:p>
        </w:tc>
        <w:tc>
          <w:tcPr>
            <w:tcW w:w="4538" w:type="dxa"/>
            <w:vAlign w:val="center"/>
          </w:tcPr>
          <w:p>
            <w:pPr>
              <w:jc w:val="center"/>
              <w:rPr>
                <w:rFonts w:ascii="宋体" w:hAnsi="宋体" w:cs="宋体"/>
                <w:color w:val="000000"/>
                <w:szCs w:val="21"/>
              </w:rPr>
            </w:pPr>
            <w:r>
              <w:rPr>
                <w:rFonts w:ascii="宋体" w:hAnsi="宋体" w:cs="宋体"/>
                <w:color w:val="000000"/>
                <w:szCs w:val="21"/>
              </w:rPr>
              <w:t>0.</w:t>
            </w:r>
            <w:r>
              <w:rPr>
                <w:rFonts w:hint="eastAsia" w:ascii="宋体" w:hAnsi="宋体" w:cs="宋体"/>
                <w:color w:val="000000"/>
                <w:szCs w:val="21"/>
              </w:rPr>
              <w:t>37</w:t>
            </w:r>
            <w:r>
              <w:rPr>
                <w:rFonts w:ascii="宋体" w:hAnsi="宋体" w:cs="宋体"/>
                <w:color w:val="000000"/>
                <w:szCs w:val="21"/>
              </w:rPr>
              <w:t>kw</w:t>
            </w:r>
          </w:p>
        </w:tc>
        <w:tc>
          <w:tcPr>
            <w:tcW w:w="176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726" w:type="dxa"/>
            <w:vAlign w:val="center"/>
          </w:tcPr>
          <w:p>
            <w:pPr>
              <w:jc w:val="center"/>
              <w:rPr>
                <w:rFonts w:ascii="宋体" w:hAnsi="宋体" w:cs="宋体"/>
                <w:color w:val="000000"/>
                <w:szCs w:val="21"/>
              </w:rPr>
            </w:pPr>
            <w:r>
              <w:rPr>
                <w:rFonts w:hint="eastAsia" w:ascii="宋体" w:hAnsi="宋体" w:cs="宋体"/>
                <w:color w:val="000000"/>
                <w:szCs w:val="21"/>
              </w:rPr>
              <w:t>5</w:t>
            </w:r>
          </w:p>
        </w:tc>
        <w:tc>
          <w:tcPr>
            <w:tcW w:w="1637" w:type="dxa"/>
            <w:vAlign w:val="center"/>
          </w:tcPr>
          <w:p>
            <w:pPr>
              <w:jc w:val="center"/>
              <w:rPr>
                <w:rFonts w:ascii="宋体" w:hAnsi="宋体" w:cs="宋体"/>
                <w:color w:val="000000"/>
                <w:szCs w:val="21"/>
              </w:rPr>
            </w:pPr>
            <w:r>
              <w:rPr>
                <w:rFonts w:hint="eastAsia" w:ascii="宋体" w:hAnsi="宋体" w:cs="宋体"/>
                <w:color w:val="000000"/>
                <w:szCs w:val="21"/>
              </w:rPr>
              <w:t>功能</w:t>
            </w:r>
            <w:r>
              <w:rPr>
                <w:rFonts w:ascii="宋体" w:hAnsi="宋体" w:cs="宋体"/>
                <w:color w:val="000000"/>
                <w:szCs w:val="21"/>
              </w:rPr>
              <w:t>要求</w:t>
            </w:r>
          </w:p>
        </w:tc>
        <w:tc>
          <w:tcPr>
            <w:tcW w:w="4538" w:type="dxa"/>
            <w:vAlign w:val="center"/>
          </w:tcPr>
          <w:p>
            <w:pPr>
              <w:jc w:val="center"/>
              <w:rPr>
                <w:rFonts w:ascii="宋体" w:hAnsi="宋体" w:cs="宋体"/>
                <w:color w:val="000000"/>
                <w:szCs w:val="21"/>
              </w:rPr>
            </w:pPr>
            <w:r>
              <w:rPr>
                <w:rFonts w:hint="eastAsia" w:ascii="宋体" w:hAnsi="宋体" w:cs="宋体"/>
                <w:color w:val="000000"/>
                <w:szCs w:val="21"/>
              </w:rPr>
              <w:t>采用磁力循环泵循环溶药，机械隔膜式计量泵投加（变频器调速，可根据设定自动调节投加量）。</w:t>
            </w:r>
          </w:p>
        </w:tc>
        <w:tc>
          <w:tcPr>
            <w:tcW w:w="176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6" w:type="dxa"/>
            <w:vAlign w:val="center"/>
          </w:tcPr>
          <w:p>
            <w:pPr>
              <w:jc w:val="center"/>
              <w:rPr>
                <w:rFonts w:ascii="宋体" w:hAnsi="宋体" w:cs="宋体"/>
                <w:color w:val="000000"/>
                <w:szCs w:val="21"/>
              </w:rPr>
            </w:pPr>
            <w:r>
              <w:rPr>
                <w:rFonts w:hint="eastAsia" w:ascii="宋体" w:hAnsi="宋体" w:cs="宋体"/>
                <w:color w:val="000000"/>
                <w:szCs w:val="21"/>
              </w:rPr>
              <w:t>6</w:t>
            </w:r>
          </w:p>
        </w:tc>
        <w:tc>
          <w:tcPr>
            <w:tcW w:w="1637" w:type="dxa"/>
            <w:vAlign w:val="center"/>
          </w:tcPr>
          <w:p>
            <w:pPr>
              <w:jc w:val="center"/>
              <w:rPr>
                <w:rFonts w:ascii="宋体" w:hAnsi="宋体" w:cs="宋体"/>
                <w:color w:val="000000"/>
                <w:szCs w:val="21"/>
              </w:rPr>
            </w:pPr>
            <w:r>
              <w:rPr>
                <w:rFonts w:hint="eastAsia" w:ascii="宋体" w:hAnsi="宋体" w:cs="宋体"/>
                <w:color w:val="000000"/>
                <w:szCs w:val="21"/>
              </w:rPr>
              <w:t>材质</w:t>
            </w:r>
            <w:r>
              <w:rPr>
                <w:rFonts w:ascii="宋体" w:hAnsi="宋体" w:cs="宋体"/>
                <w:color w:val="000000"/>
                <w:szCs w:val="21"/>
              </w:rPr>
              <w:t>要求</w:t>
            </w:r>
          </w:p>
        </w:tc>
        <w:tc>
          <w:tcPr>
            <w:tcW w:w="4538" w:type="dxa"/>
            <w:vAlign w:val="center"/>
          </w:tcPr>
          <w:p>
            <w:pPr>
              <w:jc w:val="center"/>
              <w:rPr>
                <w:rFonts w:ascii="宋体" w:hAnsi="宋体" w:cs="宋体"/>
                <w:color w:val="000000"/>
                <w:szCs w:val="21"/>
              </w:rPr>
            </w:pPr>
            <w:r>
              <w:rPr>
                <w:rFonts w:hint="eastAsia" w:ascii="宋体" w:hAnsi="宋体" w:cs="宋体"/>
                <w:color w:val="000000"/>
                <w:szCs w:val="21"/>
              </w:rPr>
              <w:t>设备箱体、管道、阀门、计量泵泵头</w:t>
            </w:r>
            <w:r>
              <w:rPr>
                <w:rFonts w:ascii="宋体" w:hAnsi="宋体" w:cs="宋体"/>
                <w:color w:val="000000"/>
                <w:szCs w:val="21"/>
              </w:rPr>
              <w:t>采用</w:t>
            </w:r>
            <w:r>
              <w:rPr>
                <w:rFonts w:hint="eastAsia" w:ascii="宋体" w:hAnsi="宋体" w:cs="宋体"/>
                <w:color w:val="000000"/>
                <w:szCs w:val="21"/>
              </w:rPr>
              <w:t>PVC材质</w:t>
            </w:r>
          </w:p>
        </w:tc>
        <w:tc>
          <w:tcPr>
            <w:tcW w:w="176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6" w:type="dxa"/>
            <w:vAlign w:val="center"/>
          </w:tcPr>
          <w:p>
            <w:pPr>
              <w:jc w:val="center"/>
              <w:rPr>
                <w:rFonts w:ascii="宋体" w:hAnsi="宋体" w:cs="宋体"/>
                <w:color w:val="000000"/>
                <w:szCs w:val="21"/>
              </w:rPr>
            </w:pPr>
            <w:r>
              <w:rPr>
                <w:rFonts w:hint="eastAsia" w:ascii="宋体" w:hAnsi="宋体" w:cs="宋体"/>
                <w:color w:val="000000"/>
                <w:szCs w:val="21"/>
              </w:rPr>
              <w:t>7</w:t>
            </w:r>
          </w:p>
        </w:tc>
        <w:tc>
          <w:tcPr>
            <w:tcW w:w="1637" w:type="dxa"/>
            <w:vAlign w:val="center"/>
          </w:tcPr>
          <w:p>
            <w:pPr>
              <w:jc w:val="center"/>
              <w:rPr>
                <w:rFonts w:ascii="宋体" w:hAnsi="宋体" w:cs="宋体"/>
                <w:color w:val="000000"/>
                <w:szCs w:val="21"/>
              </w:rPr>
            </w:pPr>
            <w:r>
              <w:rPr>
                <w:rFonts w:hint="eastAsia" w:ascii="宋体" w:hAnsi="宋体" w:cs="宋体"/>
                <w:color w:val="000000"/>
                <w:szCs w:val="21"/>
              </w:rPr>
              <w:t>日配药次数</w:t>
            </w:r>
          </w:p>
        </w:tc>
        <w:tc>
          <w:tcPr>
            <w:tcW w:w="4538" w:type="dxa"/>
            <w:vAlign w:val="center"/>
          </w:tcPr>
          <w:p>
            <w:pPr>
              <w:jc w:val="center"/>
              <w:rPr>
                <w:rFonts w:ascii="宋体" w:hAnsi="宋体" w:cs="宋体"/>
                <w:color w:val="000000"/>
                <w:szCs w:val="21"/>
              </w:rPr>
            </w:pPr>
            <w:r>
              <w:rPr>
                <w:rFonts w:hint="eastAsia" w:ascii="宋体" w:hAnsi="宋体" w:cs="宋体"/>
                <w:color w:val="000000"/>
                <w:szCs w:val="21"/>
              </w:rPr>
              <w:t>小于3</w:t>
            </w:r>
          </w:p>
        </w:tc>
        <w:tc>
          <w:tcPr>
            <w:tcW w:w="1764" w:type="dxa"/>
            <w:vAlign w:val="center"/>
          </w:tcPr>
          <w:p>
            <w:pPr>
              <w:jc w:val="center"/>
              <w:rPr>
                <w:rFonts w:ascii="宋体" w:hAnsi="宋体" w:cs="宋体"/>
                <w:color w:val="000000"/>
                <w:szCs w:val="21"/>
              </w:rPr>
            </w:pPr>
          </w:p>
        </w:tc>
      </w:tr>
    </w:tbl>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6、★投标人需根据技术参数要求，详细列出投标货物的性能参数情况，涉及原理及关键技术部分需详细说明，如存在含糊不清的情况，作废标处理。</w:t>
      </w:r>
    </w:p>
    <w:p>
      <w:pPr>
        <w:spacing w:line="360" w:lineRule="auto"/>
        <w:rPr>
          <w:rFonts w:ascii="宋体" w:hAnsi="宋体" w:cs="宋体"/>
          <w:color w:val="000000"/>
          <w:szCs w:val="21"/>
        </w:rPr>
      </w:pPr>
      <w:r>
        <w:rPr>
          <w:rFonts w:hint="eastAsia" w:ascii="宋体" w:hAnsi="宋体" w:cs="宋体"/>
          <w:color w:val="000000"/>
          <w:szCs w:val="21"/>
        </w:rPr>
        <w:t>7、★中标人在与采购人签订合同前必须进行</w:t>
      </w:r>
      <w:r>
        <w:rPr>
          <w:rFonts w:ascii="宋体" w:hAnsi="宋体" w:cs="宋体"/>
          <w:color w:val="000000"/>
          <w:szCs w:val="21"/>
        </w:rPr>
        <w:t>小批量送样试产（</w:t>
      </w:r>
      <w:r>
        <w:rPr>
          <w:rFonts w:hint="eastAsia" w:ascii="宋体" w:hAnsi="宋体" w:cs="宋体"/>
          <w:color w:val="000000"/>
          <w:szCs w:val="21"/>
        </w:rPr>
        <w:t>批量</w:t>
      </w:r>
      <w:r>
        <w:rPr>
          <w:rFonts w:ascii="宋体" w:hAnsi="宋体" w:cs="宋体"/>
          <w:color w:val="000000"/>
          <w:szCs w:val="21"/>
        </w:rPr>
        <w:t>不小于</w:t>
      </w:r>
      <w:r>
        <w:rPr>
          <w:rFonts w:hint="eastAsia" w:ascii="宋体" w:hAnsi="宋体" w:cs="宋体"/>
          <w:color w:val="000000"/>
          <w:szCs w:val="21"/>
        </w:rPr>
        <w:t>0.1吨），经采购人试生产符合技术要求(以用户</w:t>
      </w:r>
      <w:r>
        <w:rPr>
          <w:rFonts w:ascii="宋体" w:hAnsi="宋体" w:cs="宋体"/>
          <w:color w:val="000000"/>
          <w:szCs w:val="21"/>
        </w:rPr>
        <w:t>需求书中的技术</w:t>
      </w:r>
      <w:r>
        <w:rPr>
          <w:rFonts w:hint="eastAsia" w:ascii="宋体" w:hAnsi="宋体" w:cs="宋体"/>
          <w:color w:val="000000"/>
          <w:szCs w:val="21"/>
        </w:rPr>
        <w:t>指标或</w:t>
      </w:r>
      <w:r>
        <w:rPr>
          <w:rFonts w:ascii="宋体" w:hAnsi="宋体" w:cs="宋体"/>
          <w:color w:val="000000"/>
          <w:szCs w:val="21"/>
        </w:rPr>
        <w:t>投标人响应</w:t>
      </w:r>
      <w:r>
        <w:rPr>
          <w:rFonts w:hint="eastAsia" w:ascii="宋体" w:hAnsi="宋体" w:cs="宋体"/>
          <w:color w:val="000000"/>
          <w:szCs w:val="21"/>
        </w:rPr>
        <w:t>能达到</w:t>
      </w:r>
      <w:r>
        <w:rPr>
          <w:rFonts w:ascii="宋体" w:hAnsi="宋体" w:cs="宋体"/>
          <w:color w:val="000000"/>
          <w:szCs w:val="21"/>
        </w:rPr>
        <w:t>的技术</w:t>
      </w:r>
      <w:r>
        <w:rPr>
          <w:rFonts w:hint="eastAsia" w:ascii="宋体" w:hAnsi="宋体" w:cs="宋体"/>
          <w:color w:val="000000"/>
          <w:szCs w:val="21"/>
        </w:rPr>
        <w:t>指标要求中</w:t>
      </w:r>
      <w:r>
        <w:rPr>
          <w:rFonts w:ascii="宋体" w:hAnsi="宋体" w:cs="宋体"/>
          <w:color w:val="000000"/>
          <w:szCs w:val="21"/>
        </w:rPr>
        <w:t>较高者为准</w:t>
      </w:r>
      <w:r>
        <w:rPr>
          <w:rFonts w:hint="eastAsia" w:ascii="宋体" w:hAnsi="宋体" w:cs="宋体"/>
          <w:color w:val="000000"/>
          <w:szCs w:val="21"/>
        </w:rPr>
        <w:t>)后再签订合同（</w:t>
      </w:r>
      <w:r>
        <w:rPr>
          <w:rFonts w:ascii="宋体" w:hAnsi="宋体" w:cs="宋体"/>
          <w:color w:val="000000"/>
          <w:szCs w:val="21"/>
        </w:rPr>
        <w:t>送样的批量计入</w:t>
      </w:r>
      <w:r>
        <w:rPr>
          <w:rFonts w:hint="eastAsia" w:ascii="宋体" w:hAnsi="宋体" w:cs="宋体"/>
          <w:color w:val="000000"/>
          <w:szCs w:val="21"/>
        </w:rPr>
        <w:t>合同</w:t>
      </w:r>
      <w:r>
        <w:rPr>
          <w:rFonts w:ascii="宋体" w:hAnsi="宋体" w:cs="宋体"/>
          <w:color w:val="000000"/>
          <w:szCs w:val="21"/>
        </w:rPr>
        <w:t>范围结算）</w:t>
      </w:r>
      <w:r>
        <w:rPr>
          <w:rFonts w:hint="eastAsia" w:ascii="宋体" w:hAnsi="宋体" w:cs="宋体"/>
          <w:color w:val="000000"/>
          <w:szCs w:val="21"/>
        </w:rPr>
        <w:t>，如采购人在合同签订前送样货物的性能不满足招标文件技术要求，采购人有权取消中标人中标</w:t>
      </w:r>
      <w:r>
        <w:rPr>
          <w:rFonts w:ascii="宋体" w:hAnsi="宋体" w:cs="宋体"/>
          <w:color w:val="000000"/>
          <w:szCs w:val="21"/>
        </w:rPr>
        <w:t>资格</w:t>
      </w:r>
      <w:r>
        <w:rPr>
          <w:rFonts w:hint="eastAsia" w:ascii="宋体" w:hAnsi="宋体" w:cs="宋体"/>
          <w:color w:val="000000"/>
          <w:szCs w:val="21"/>
        </w:rPr>
        <w:t>并且将样品</w:t>
      </w:r>
      <w:r>
        <w:rPr>
          <w:rFonts w:ascii="宋体" w:hAnsi="宋体" w:cs="宋体"/>
          <w:color w:val="000000"/>
          <w:szCs w:val="21"/>
        </w:rPr>
        <w:t>退回中标人</w:t>
      </w:r>
      <w:r>
        <w:rPr>
          <w:rFonts w:hint="eastAsia" w:ascii="宋体" w:hAnsi="宋体" w:cs="宋体"/>
          <w:color w:val="000000"/>
          <w:szCs w:val="21"/>
        </w:rPr>
        <w:t>，</w:t>
      </w:r>
      <w:r>
        <w:rPr>
          <w:rFonts w:ascii="宋体" w:hAnsi="宋体" w:cs="宋体"/>
          <w:color w:val="000000"/>
          <w:szCs w:val="21"/>
        </w:rPr>
        <w:t>采购人不承担任何费用</w:t>
      </w:r>
      <w:r>
        <w:rPr>
          <w:rFonts w:hint="eastAsia" w:ascii="宋体" w:hAnsi="宋体" w:cs="宋体"/>
          <w:color w:val="000000"/>
          <w:szCs w:val="21"/>
        </w:rPr>
        <w:t>，</w:t>
      </w:r>
      <w:r>
        <w:rPr>
          <w:rFonts w:ascii="宋体" w:hAnsi="宋体" w:cs="宋体"/>
          <w:color w:val="000000"/>
          <w:szCs w:val="21"/>
        </w:rPr>
        <w:t>并</w:t>
      </w:r>
      <w:r>
        <w:rPr>
          <w:rFonts w:hint="eastAsia" w:ascii="宋体" w:hAnsi="宋体" w:cs="宋体"/>
          <w:color w:val="000000"/>
          <w:szCs w:val="21"/>
        </w:rPr>
        <w:t>组织重新招标或授予</w:t>
      </w:r>
      <w:r>
        <w:rPr>
          <w:rFonts w:ascii="宋体" w:hAnsi="宋体" w:cs="宋体"/>
          <w:color w:val="000000"/>
          <w:szCs w:val="21"/>
        </w:rPr>
        <w:t>第二中标候选人</w:t>
      </w:r>
      <w:r>
        <w:rPr>
          <w:rFonts w:hint="eastAsia" w:ascii="宋体" w:hAnsi="宋体" w:cs="宋体"/>
          <w:color w:val="000000"/>
          <w:szCs w:val="21"/>
        </w:rPr>
        <w:t>。</w:t>
      </w:r>
    </w:p>
    <w:p>
      <w:pPr>
        <w:spacing w:line="360" w:lineRule="auto"/>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、中标</w:t>
      </w:r>
      <w:r>
        <w:rPr>
          <w:rFonts w:hint="eastAsia" w:ascii="宋体" w:hAnsi="宋体" w:cs="宋体"/>
          <w:color w:val="000000"/>
          <w:szCs w:val="21"/>
        </w:rPr>
        <w:t>人在</w:t>
      </w:r>
      <w:r>
        <w:rPr>
          <w:rFonts w:ascii="宋体" w:hAnsi="宋体" w:cs="宋体"/>
          <w:color w:val="000000"/>
          <w:szCs w:val="21"/>
        </w:rPr>
        <w:t>签订合同前送样试产不合格或者不能履行合同的，则采购人可</w:t>
      </w:r>
      <w:r>
        <w:rPr>
          <w:rFonts w:hint="eastAsia" w:ascii="宋体" w:hAnsi="宋体" w:cs="宋体"/>
          <w:color w:val="000000"/>
          <w:szCs w:val="21"/>
        </w:rPr>
        <w:t>组织重新招标或</w:t>
      </w:r>
      <w:r>
        <w:rPr>
          <w:rFonts w:ascii="宋体" w:hAnsi="宋体" w:cs="宋体"/>
          <w:color w:val="000000"/>
          <w:szCs w:val="21"/>
        </w:rPr>
        <w:t>启用第二中标候选人，以此类推</w:t>
      </w:r>
      <w:r>
        <w:rPr>
          <w:rFonts w:hint="eastAsia" w:ascii="宋体" w:hAnsi="宋体" w:cs="宋体"/>
          <w:color w:val="000000"/>
          <w:szCs w:val="21"/>
        </w:rPr>
        <w:t>。</w:t>
      </w:r>
    </w:p>
    <w:p>
      <w:pPr>
        <w:spacing w:line="360" w:lineRule="auto"/>
        <w:rPr>
          <w:rFonts w:ascii="宋体" w:hAnsi="宋体"/>
          <w:color w:val="000000"/>
          <w:szCs w:val="21"/>
        </w:rPr>
      </w:pPr>
      <w:r>
        <w:rPr>
          <w:rFonts w:hint="eastAsia" w:ascii="宋体" w:hAnsi="宋体" w:cs="宋体"/>
          <w:color w:val="000000"/>
          <w:szCs w:val="21"/>
        </w:rPr>
        <w:t>9、★</w:t>
      </w:r>
      <w:r>
        <w:rPr>
          <w:rFonts w:ascii="宋体" w:hAnsi="宋体" w:cs="宋体"/>
          <w:color w:val="000000"/>
          <w:szCs w:val="21"/>
        </w:rPr>
        <w:t>质量检验：货物经</w:t>
      </w:r>
      <w:r>
        <w:rPr>
          <w:rFonts w:hint="eastAsia" w:ascii="宋体" w:hAnsi="宋体" w:cs="宋体"/>
          <w:color w:val="000000"/>
          <w:szCs w:val="21"/>
        </w:rPr>
        <w:t>采购人</w:t>
      </w:r>
      <w:r>
        <w:rPr>
          <w:rFonts w:ascii="宋体" w:hAnsi="宋体" w:cs="宋体"/>
          <w:color w:val="000000"/>
          <w:szCs w:val="21"/>
        </w:rPr>
        <w:t>抽样检验</w:t>
      </w:r>
      <w:r>
        <w:rPr>
          <w:rFonts w:hint="eastAsia" w:ascii="宋体" w:hAnsi="宋体" w:cs="宋体"/>
          <w:color w:val="000000"/>
          <w:szCs w:val="21"/>
        </w:rPr>
        <w:t>（采购人所在单位实验室检测）</w:t>
      </w:r>
      <w:r>
        <w:rPr>
          <w:rFonts w:ascii="宋体" w:hAnsi="宋体" w:cs="宋体"/>
          <w:color w:val="000000"/>
          <w:szCs w:val="21"/>
        </w:rPr>
        <w:t>，若发现检验结果如有一项</w:t>
      </w:r>
      <w:r>
        <w:rPr>
          <w:rFonts w:hint="eastAsia" w:ascii="宋体" w:hAnsi="宋体" w:cs="宋体"/>
          <w:color w:val="000000"/>
          <w:szCs w:val="21"/>
        </w:rPr>
        <w:t>主要</w:t>
      </w:r>
      <w:r>
        <w:rPr>
          <w:rFonts w:ascii="宋体" w:hAnsi="宋体" w:cs="宋体"/>
          <w:color w:val="000000"/>
          <w:szCs w:val="21"/>
        </w:rPr>
        <w:t>指标不符合标准要求时，判定该批次</w:t>
      </w:r>
      <w:r>
        <w:rPr>
          <w:rFonts w:hint="eastAsia" w:ascii="宋体" w:hAnsi="宋体" w:cs="宋体"/>
          <w:color w:val="000000"/>
          <w:szCs w:val="21"/>
        </w:rPr>
        <w:t>货物</w:t>
      </w:r>
      <w:r>
        <w:rPr>
          <w:rFonts w:ascii="宋体" w:hAnsi="宋体" w:cs="宋体"/>
          <w:color w:val="000000"/>
          <w:szCs w:val="21"/>
        </w:rPr>
        <w:t>质量不合格产品，</w:t>
      </w:r>
      <w:r>
        <w:rPr>
          <w:rFonts w:hint="eastAsia" w:ascii="宋体" w:hAnsi="宋体" w:cs="宋体"/>
          <w:color w:val="000000"/>
          <w:szCs w:val="21"/>
        </w:rPr>
        <w:t>采购</w:t>
      </w:r>
      <w:r>
        <w:rPr>
          <w:rFonts w:ascii="宋体" w:hAnsi="宋体" w:cs="宋体"/>
          <w:color w:val="000000"/>
          <w:szCs w:val="21"/>
        </w:rPr>
        <w:t>人有权拒绝接收，不合格产品退回</w:t>
      </w:r>
      <w:r>
        <w:rPr>
          <w:rFonts w:hint="eastAsia" w:ascii="宋体" w:hAnsi="宋体" w:cs="宋体"/>
          <w:color w:val="000000"/>
          <w:szCs w:val="21"/>
        </w:rPr>
        <w:t>成交供应商</w:t>
      </w:r>
      <w:r>
        <w:rPr>
          <w:rFonts w:ascii="宋体" w:hAnsi="宋体" w:cs="宋体"/>
          <w:color w:val="000000"/>
          <w:szCs w:val="21"/>
        </w:rPr>
        <w:t>、并由</w:t>
      </w:r>
      <w:r>
        <w:rPr>
          <w:rFonts w:hint="eastAsia" w:ascii="宋体" w:hAnsi="宋体" w:cs="宋体"/>
          <w:color w:val="000000"/>
          <w:szCs w:val="21"/>
        </w:rPr>
        <w:t>成交供应商</w:t>
      </w:r>
      <w:r>
        <w:rPr>
          <w:rFonts w:ascii="宋体" w:hAnsi="宋体" w:cs="宋体"/>
          <w:color w:val="000000"/>
          <w:szCs w:val="21"/>
        </w:rPr>
        <w:t>自行承担运费、装卸车费用外、还应承担相应违约责任</w:t>
      </w:r>
      <w:r>
        <w:rPr>
          <w:rFonts w:hint="eastAsia" w:ascii="宋体" w:hAnsi="宋体" w:cs="宋体"/>
          <w:color w:val="000000"/>
          <w:szCs w:val="21"/>
        </w:rPr>
        <w:t>，</w:t>
      </w:r>
      <w:r>
        <w:rPr>
          <w:rFonts w:ascii="宋体" w:hAnsi="宋体" w:cs="宋体"/>
          <w:color w:val="000000"/>
          <w:szCs w:val="21"/>
        </w:rPr>
        <w:t>同时</w:t>
      </w:r>
      <w:r>
        <w:rPr>
          <w:rFonts w:hint="eastAsia" w:ascii="宋体" w:hAnsi="宋体" w:cs="宋体"/>
          <w:color w:val="000000"/>
          <w:szCs w:val="21"/>
        </w:rPr>
        <w:t>采购人</w:t>
      </w:r>
      <w:r>
        <w:rPr>
          <w:rFonts w:ascii="宋体" w:hAnsi="宋体" w:cs="宋体"/>
          <w:color w:val="000000"/>
          <w:szCs w:val="21"/>
        </w:rPr>
        <w:t>有权解除合同不予任何补偿。</w:t>
      </w:r>
    </w:p>
    <w:p>
      <w:pPr>
        <w:spacing w:line="360" w:lineRule="auto"/>
        <w:rPr>
          <w:rFonts w:ascii="宋体" w:hAnsi="宋体" w:cs="宋体"/>
          <w:color w:val="000000"/>
          <w:szCs w:val="21"/>
        </w:rPr>
      </w:pPr>
      <w:r>
        <w:rPr>
          <w:rFonts w:hint="eastAsia" w:ascii="宋体" w:hAnsi="宋体"/>
          <w:color w:val="000000"/>
          <w:szCs w:val="21"/>
        </w:rPr>
        <w:t>10</w:t>
      </w:r>
      <w:r>
        <w:rPr>
          <w:rFonts w:hint="eastAsia" w:ascii="宋体" w:hAnsi="宋体" w:cs="宋体"/>
          <w:color w:val="000000"/>
          <w:szCs w:val="21"/>
        </w:rPr>
        <w:t>、付款方式：一次性供货完毕的，所有货物验收合格后30日内一次性付清所有合同款项，如分批供货的，在该批次货物验收合格后30日内付清该批次款项。</w:t>
      </w:r>
      <w:bookmarkEnd w:id="15"/>
    </w:p>
    <w:p>
      <w:pPr>
        <w:tabs>
          <w:tab w:val="left" w:pos="1365"/>
        </w:tabs>
        <w:spacing w:line="460" w:lineRule="atLeast"/>
        <w:rPr>
          <w:color w:val="000000"/>
          <w:szCs w:val="21"/>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rPr>
      </w:pPr>
    </w:p>
    <w:p>
      <w:pPr>
        <w:pStyle w:val="99"/>
        <w:rPr>
          <w:rFonts w:ascii="Times New Roman"/>
        </w:rPr>
      </w:pPr>
    </w:p>
    <w:p>
      <w:pPr>
        <w:pStyle w:val="99"/>
        <w:rPr>
          <w:rFonts w:ascii="Times New Roman"/>
          <w:b w:val="0"/>
        </w:rPr>
      </w:pPr>
      <w:bookmarkStart w:id="16" w:name="_Toc20498"/>
      <w:r>
        <w:rPr>
          <w:rFonts w:ascii="Times New Roman"/>
        </w:rPr>
        <w:t>第三部分   投 标 人 须 知</w:t>
      </w:r>
      <w:bookmarkEnd w:id="16"/>
    </w:p>
    <w:p>
      <w:pPr>
        <w:pStyle w:val="4"/>
        <w:jc w:val="both"/>
        <w:rPr>
          <w:rFonts w:ascii="Times New Roman" w:hAnsi="Times New Roman" w:cs="Times New Roman"/>
          <w:color w:val="auto"/>
          <w:sz w:val="24"/>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ind w:left="0"/>
      </w:pPr>
    </w:p>
    <w:p>
      <w:pPr>
        <w:numPr>
          <w:ilvl w:val="0"/>
          <w:numId w:val="16"/>
        </w:numPr>
        <w:snapToGrid w:val="0"/>
        <w:spacing w:line="460" w:lineRule="exact"/>
        <w:jc w:val="both"/>
        <w:rPr>
          <w:b/>
          <w:sz w:val="24"/>
        </w:rPr>
      </w:pPr>
      <w:r>
        <w:rPr>
          <w:b/>
          <w:sz w:val="24"/>
        </w:rPr>
        <w:t>说明</w:t>
      </w:r>
    </w:p>
    <w:p>
      <w:pPr>
        <w:numPr>
          <w:ilvl w:val="1"/>
          <w:numId w:val="16"/>
        </w:numPr>
        <w:tabs>
          <w:tab w:val="left" w:pos="851"/>
          <w:tab w:val="clear" w:pos="644"/>
        </w:tabs>
        <w:snapToGrid w:val="0"/>
        <w:spacing w:line="460" w:lineRule="exact"/>
        <w:ind w:left="851" w:hanging="851"/>
        <w:rPr>
          <w:b/>
        </w:rPr>
      </w:pPr>
      <w:r>
        <w:t>招标范围：见本招标文件第二部分《用户需求书》。</w:t>
      </w:r>
    </w:p>
    <w:p>
      <w:pPr>
        <w:numPr>
          <w:ilvl w:val="1"/>
          <w:numId w:val="16"/>
        </w:numPr>
        <w:tabs>
          <w:tab w:val="left" w:pos="848"/>
          <w:tab w:val="clear" w:pos="644"/>
        </w:tabs>
        <w:snapToGrid w:val="0"/>
        <w:spacing w:line="460" w:lineRule="exact"/>
        <w:ind w:left="851" w:hanging="851"/>
      </w:pPr>
      <w:r>
        <w:t>在招标文件中凡有“★”标识的内容条款被视为重要的响应要求、技术指标要求和性能要求。投标人必须对此作出回答并完全满足这些要求不可以出现任何负偏离，如果出现负偏离则将被视为无效投标。</w:t>
      </w:r>
    </w:p>
    <w:p>
      <w:pPr>
        <w:numPr>
          <w:ilvl w:val="1"/>
          <w:numId w:val="16"/>
        </w:numPr>
        <w:tabs>
          <w:tab w:val="left" w:pos="851"/>
          <w:tab w:val="clear" w:pos="644"/>
        </w:tabs>
        <w:snapToGrid w:val="0"/>
        <w:spacing w:line="460" w:lineRule="exact"/>
        <w:ind w:left="851" w:hanging="851"/>
      </w:pPr>
      <w:r>
        <w:rPr>
          <w:rFonts w:ascii="宋体"/>
          <w:b/>
          <w:sz w:val="24"/>
        </w:rPr>
        <w:t>★</w:t>
      </w:r>
      <w:r>
        <w:rPr>
          <w:b/>
          <w:bCs/>
        </w:rPr>
        <w:t>本项目的最高上限价为人民币</w:t>
      </w:r>
      <w:r>
        <w:rPr>
          <w:rFonts w:hint="eastAsia"/>
          <w:b/>
          <w:bCs/>
          <w:lang w:val="en-US" w:eastAsia="zh-CN"/>
        </w:rPr>
        <w:t>1944000</w:t>
      </w:r>
      <w:r>
        <w:rPr>
          <w:b/>
          <w:bCs/>
        </w:rPr>
        <w:t>元，投标报价超过此上限价的视为无效报价，不能通过初步审查。</w:t>
      </w:r>
    </w:p>
    <w:p>
      <w:pPr>
        <w:numPr>
          <w:ilvl w:val="0"/>
          <w:numId w:val="16"/>
        </w:numPr>
        <w:snapToGrid w:val="0"/>
        <w:spacing w:line="460" w:lineRule="exact"/>
        <w:jc w:val="both"/>
        <w:rPr>
          <w:b/>
          <w:sz w:val="24"/>
        </w:rPr>
      </w:pPr>
      <w:r>
        <w:rPr>
          <w:b/>
          <w:sz w:val="24"/>
        </w:rPr>
        <w:t>定义及解释</w:t>
      </w:r>
    </w:p>
    <w:p>
      <w:pPr>
        <w:numPr>
          <w:ilvl w:val="1"/>
          <w:numId w:val="16"/>
        </w:numPr>
        <w:tabs>
          <w:tab w:val="left" w:pos="848"/>
          <w:tab w:val="clear" w:pos="644"/>
        </w:tabs>
        <w:snapToGrid w:val="0"/>
        <w:spacing w:line="460" w:lineRule="atLeast"/>
        <w:ind w:left="851" w:hanging="851"/>
        <w:jc w:val="both"/>
      </w:pPr>
      <w:r>
        <w:t>货物：指投标人为满足招标文件要求而提供的所有货物。</w:t>
      </w:r>
    </w:p>
    <w:p>
      <w:pPr>
        <w:numPr>
          <w:ilvl w:val="1"/>
          <w:numId w:val="16"/>
        </w:numPr>
        <w:tabs>
          <w:tab w:val="left" w:pos="848"/>
          <w:tab w:val="clear" w:pos="644"/>
        </w:tabs>
        <w:snapToGrid w:val="0"/>
        <w:spacing w:line="460" w:lineRule="atLeast"/>
        <w:ind w:left="851" w:hanging="851"/>
        <w:jc w:val="both"/>
      </w:pPr>
      <w:r>
        <w:t>服务：指投标人提供的货物所需的相关服务以及《用户需求书》中要求的其他服务。</w:t>
      </w:r>
    </w:p>
    <w:p>
      <w:pPr>
        <w:numPr>
          <w:ilvl w:val="1"/>
          <w:numId w:val="16"/>
        </w:numPr>
        <w:tabs>
          <w:tab w:val="left" w:pos="848"/>
          <w:tab w:val="clear" w:pos="644"/>
        </w:tabs>
        <w:snapToGrid w:val="0"/>
        <w:spacing w:line="460" w:lineRule="atLeast"/>
        <w:ind w:left="851" w:hanging="851"/>
        <w:jc w:val="both"/>
      </w:pPr>
      <w:r>
        <w:t>招标人：</w:t>
      </w:r>
      <w:r>
        <w:rPr>
          <w:rFonts w:hint="eastAsia"/>
        </w:rPr>
        <w:t>中山市坦洲镇污水处理有限公司</w:t>
      </w:r>
      <w:r>
        <w:t>。</w:t>
      </w:r>
    </w:p>
    <w:p>
      <w:pPr>
        <w:numPr>
          <w:ilvl w:val="1"/>
          <w:numId w:val="16"/>
        </w:numPr>
        <w:tabs>
          <w:tab w:val="left" w:pos="848"/>
          <w:tab w:val="clear" w:pos="644"/>
        </w:tabs>
        <w:snapToGrid w:val="0"/>
        <w:spacing w:line="460" w:lineRule="atLeast"/>
        <w:ind w:left="851" w:hanging="851"/>
        <w:jc w:val="both"/>
      </w:pPr>
      <w:r>
        <w:t>投标人：投标人是响应招标、参加投标竞争的中华人民共和国境内的法人、其它组织或者自然人</w:t>
      </w:r>
      <w:r>
        <w:rPr>
          <w:rFonts w:hint="eastAsia"/>
          <w:lang w:eastAsia="zh-CN"/>
        </w:rPr>
        <w:t>，</w:t>
      </w:r>
      <w:r>
        <w:rPr>
          <w:rFonts w:hint="eastAsia"/>
          <w:szCs w:val="21"/>
          <w:highlight w:val="none"/>
        </w:rPr>
        <w:t>并独立于采购人和采购代理机构</w:t>
      </w:r>
      <w:r>
        <w:t>。</w:t>
      </w:r>
    </w:p>
    <w:p>
      <w:pPr>
        <w:numPr>
          <w:ilvl w:val="1"/>
          <w:numId w:val="16"/>
        </w:numPr>
        <w:tabs>
          <w:tab w:val="left" w:pos="848"/>
          <w:tab w:val="clear" w:pos="644"/>
        </w:tabs>
        <w:snapToGrid w:val="0"/>
        <w:spacing w:line="460" w:lineRule="atLeast"/>
        <w:ind w:left="851" w:hanging="851"/>
        <w:jc w:val="both"/>
      </w:pPr>
      <w:r>
        <w:t>中标人：指由评标委员会评审推荐，经法定程序确定获得本项目中标资格的投标人。</w:t>
      </w:r>
    </w:p>
    <w:p>
      <w:pPr>
        <w:numPr>
          <w:ilvl w:val="1"/>
          <w:numId w:val="16"/>
        </w:numPr>
        <w:tabs>
          <w:tab w:val="left" w:pos="848"/>
          <w:tab w:val="clear" w:pos="644"/>
        </w:tabs>
        <w:snapToGrid w:val="0"/>
        <w:spacing w:line="460" w:lineRule="atLeast"/>
        <w:ind w:left="851" w:hanging="851"/>
        <w:jc w:val="both"/>
      </w:pPr>
      <w:r>
        <w:t>招标代理机构：</w:t>
      </w:r>
      <w:r>
        <w:rPr>
          <w:rFonts w:hint="eastAsia"/>
          <w:lang w:eastAsia="zh-CN"/>
        </w:rPr>
        <w:t>华联世纪工程咨询股份有限公司中山分公司</w:t>
      </w:r>
      <w:r>
        <w:t>。</w:t>
      </w:r>
    </w:p>
    <w:p>
      <w:pPr>
        <w:numPr>
          <w:ilvl w:val="1"/>
          <w:numId w:val="16"/>
        </w:numPr>
        <w:tabs>
          <w:tab w:val="left" w:pos="848"/>
          <w:tab w:val="clear" w:pos="644"/>
        </w:tabs>
        <w:snapToGrid w:val="0"/>
        <w:spacing w:line="460" w:lineRule="atLeast"/>
        <w:ind w:left="851" w:hanging="851"/>
        <w:jc w:val="both"/>
      </w:pPr>
      <w:r>
        <w:t>评标委员会：评标委员会是依法组建，负责本次招标的评标工作机构。</w:t>
      </w:r>
    </w:p>
    <w:p>
      <w:pPr>
        <w:numPr>
          <w:ilvl w:val="1"/>
          <w:numId w:val="16"/>
        </w:numPr>
        <w:tabs>
          <w:tab w:val="left" w:pos="848"/>
          <w:tab w:val="clear" w:pos="644"/>
        </w:tabs>
        <w:snapToGrid w:val="0"/>
        <w:spacing w:line="460" w:lineRule="atLeast"/>
        <w:ind w:left="851" w:hanging="851"/>
        <w:jc w:val="both"/>
      </w:pPr>
      <w:r>
        <w:t>日期：指公历日。</w:t>
      </w:r>
    </w:p>
    <w:p>
      <w:pPr>
        <w:numPr>
          <w:ilvl w:val="1"/>
          <w:numId w:val="16"/>
        </w:numPr>
        <w:tabs>
          <w:tab w:val="left" w:pos="848"/>
          <w:tab w:val="clear" w:pos="644"/>
        </w:tabs>
        <w:snapToGrid w:val="0"/>
        <w:spacing w:line="460" w:lineRule="atLeast"/>
        <w:ind w:left="851" w:hanging="851"/>
        <w:jc w:val="both"/>
      </w:pPr>
      <w:r>
        <w:t>合同：指依据本次货物及服务招标结果签订的协议或者合约文件。</w:t>
      </w:r>
    </w:p>
    <w:p>
      <w:pPr>
        <w:numPr>
          <w:ilvl w:val="1"/>
          <w:numId w:val="16"/>
        </w:numPr>
        <w:tabs>
          <w:tab w:val="left" w:pos="848"/>
          <w:tab w:val="clear" w:pos="644"/>
        </w:tabs>
        <w:snapToGrid w:val="0"/>
        <w:spacing w:line="460" w:lineRule="atLeast"/>
        <w:ind w:left="851" w:hanging="851"/>
        <w:jc w:val="both"/>
      </w:pPr>
      <w:r>
        <w:t>招标文件中的标题或者题名仅起引导作用，而不应视为对招标文件内容的理解和解释。</w:t>
      </w:r>
    </w:p>
    <w:p>
      <w:pPr>
        <w:numPr>
          <w:ilvl w:val="1"/>
          <w:numId w:val="16"/>
        </w:numPr>
        <w:tabs>
          <w:tab w:val="left" w:pos="848"/>
          <w:tab w:val="clear" w:pos="644"/>
        </w:tabs>
        <w:snapToGrid w:val="0"/>
        <w:spacing w:line="460" w:lineRule="atLeast"/>
        <w:ind w:left="851" w:hanging="851"/>
        <w:jc w:val="both"/>
      </w:pPr>
      <w:r>
        <w:t>招标文件中所规定的“书面形式”，包括纸质文件和电讯文件形式，既含手写、打印或者印刷的文字资料形式，也包括电报、传真等通讯形成文件。</w:t>
      </w:r>
    </w:p>
    <w:p>
      <w:pPr>
        <w:numPr>
          <w:ilvl w:val="0"/>
          <w:numId w:val="16"/>
        </w:numPr>
        <w:spacing w:line="460" w:lineRule="exact"/>
        <w:rPr>
          <w:b/>
          <w:sz w:val="24"/>
        </w:rPr>
      </w:pPr>
      <w:r>
        <w:rPr>
          <w:b/>
          <w:sz w:val="24"/>
        </w:rPr>
        <w:t>纪律与保密事项</w:t>
      </w:r>
    </w:p>
    <w:p>
      <w:pPr>
        <w:numPr>
          <w:ilvl w:val="1"/>
          <w:numId w:val="16"/>
        </w:numPr>
        <w:tabs>
          <w:tab w:val="left" w:pos="848"/>
          <w:tab w:val="clear" w:pos="644"/>
        </w:tabs>
        <w:snapToGrid w:val="0"/>
        <w:spacing w:line="460" w:lineRule="exact"/>
        <w:ind w:left="848" w:hanging="848"/>
      </w:pPr>
      <w:r>
        <w:t>凡参与招标工作的有关人员均应自觉接受有关主管部门的监督，不得向他人透露已获得招标文件的潜在投标人的名称、数量以及可能影响公平竞争的有关招标投标的其他情况。</w:t>
      </w:r>
    </w:p>
    <w:p>
      <w:pPr>
        <w:numPr>
          <w:ilvl w:val="1"/>
          <w:numId w:val="16"/>
        </w:numPr>
        <w:tabs>
          <w:tab w:val="left" w:pos="848"/>
          <w:tab w:val="clear" w:pos="644"/>
        </w:tabs>
        <w:snapToGrid w:val="0"/>
        <w:spacing w:line="460" w:lineRule="exact"/>
        <w:ind w:left="848" w:hanging="848"/>
      </w:pPr>
      <w:r>
        <w:t>开标后，直至向中标的投标人发出《中标通知书》时止，凡与审查、澄清、评价和比较投标的有关资料以及授标意见等，均不得向投标人及与评标无关的其他人透露。</w:t>
      </w:r>
    </w:p>
    <w:p>
      <w:pPr>
        <w:numPr>
          <w:ilvl w:val="1"/>
          <w:numId w:val="16"/>
        </w:numPr>
        <w:tabs>
          <w:tab w:val="left" w:pos="848"/>
          <w:tab w:val="clear" w:pos="644"/>
        </w:tabs>
        <w:snapToGrid w:val="0"/>
        <w:spacing w:line="460" w:lineRule="exact"/>
        <w:ind w:left="848" w:hanging="848"/>
      </w:pPr>
      <w:r>
        <w:t>除投标人被要求对投标文件进行澄清外，从开标至签订合同期间，投标人不得就与其投标文件有关的事项主动与评标委员会、招标代理机构以及招标人联系。</w:t>
      </w:r>
    </w:p>
    <w:p>
      <w:pPr>
        <w:numPr>
          <w:ilvl w:val="1"/>
          <w:numId w:val="16"/>
        </w:numPr>
        <w:tabs>
          <w:tab w:val="left" w:pos="848"/>
          <w:tab w:val="clear" w:pos="644"/>
        </w:tabs>
        <w:snapToGrid w:val="0"/>
        <w:spacing w:line="460" w:lineRule="exact"/>
        <w:ind w:left="848" w:hanging="848"/>
      </w:pPr>
      <w:r>
        <w:t>从开标至签订合同期间，投标人试图在投标文件审查、澄清、比较和评价时对评标委员会和招标代理机构施加任何影响或对招标人的比较及授予合同的决定进行影响，都可能导致其投标文件被拒绝。</w:t>
      </w:r>
    </w:p>
    <w:p>
      <w:pPr>
        <w:numPr>
          <w:ilvl w:val="1"/>
          <w:numId w:val="16"/>
        </w:numPr>
        <w:tabs>
          <w:tab w:val="left" w:pos="848"/>
          <w:tab w:val="clear" w:pos="644"/>
        </w:tabs>
        <w:snapToGrid w:val="0"/>
        <w:spacing w:line="460" w:lineRule="exact"/>
        <w:ind w:left="848" w:hanging="848"/>
      </w:pPr>
      <w:r>
        <w:t>投标人不得串通作弊，以不正当的手段妨碍、排挤其他投标人，扰乱招标市场，破坏公平竞争原则。</w:t>
      </w:r>
    </w:p>
    <w:p>
      <w:pPr>
        <w:numPr>
          <w:ilvl w:val="1"/>
          <w:numId w:val="16"/>
        </w:numPr>
        <w:tabs>
          <w:tab w:val="left" w:pos="848"/>
          <w:tab w:val="clear" w:pos="644"/>
        </w:tabs>
        <w:snapToGrid w:val="0"/>
        <w:spacing w:line="460" w:lineRule="exact"/>
        <w:ind w:left="848" w:hanging="848"/>
      </w:pPr>
      <w:r>
        <w:t>获得本招标文件者，应对文件进行保密，不得用作本次投标以外的任何用途。若有要求，开标后，投标人应归还招标文件中的保密的文件和资料。</w:t>
      </w:r>
    </w:p>
    <w:p>
      <w:pPr>
        <w:numPr>
          <w:ilvl w:val="1"/>
          <w:numId w:val="16"/>
        </w:numPr>
        <w:tabs>
          <w:tab w:val="left" w:pos="848"/>
          <w:tab w:val="clear" w:pos="644"/>
        </w:tabs>
        <w:snapToGrid w:val="0"/>
        <w:spacing w:line="460" w:lineRule="exact"/>
        <w:ind w:left="848" w:hanging="848"/>
        <w:rPr>
          <w:b/>
          <w:sz w:val="24"/>
        </w:rPr>
      </w:pPr>
      <w: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p>
      <w:pPr>
        <w:numPr>
          <w:ilvl w:val="1"/>
          <w:numId w:val="16"/>
        </w:numPr>
        <w:tabs>
          <w:tab w:val="left" w:pos="848"/>
          <w:tab w:val="clear" w:pos="644"/>
        </w:tabs>
        <w:snapToGrid w:val="0"/>
        <w:spacing w:line="460" w:lineRule="exact"/>
        <w:ind w:left="848" w:hanging="848"/>
        <w:rPr>
          <w:b/>
          <w:sz w:val="24"/>
        </w:rPr>
      </w:pPr>
      <w:r>
        <w:t>投标人必须保证所提交给招标代理机构、招标人的资料和数据是真实的，并承担相应的法律责任。</w:t>
      </w:r>
    </w:p>
    <w:p>
      <w:pPr>
        <w:numPr>
          <w:ilvl w:val="0"/>
          <w:numId w:val="16"/>
        </w:numPr>
        <w:spacing w:line="460" w:lineRule="exact"/>
        <w:rPr>
          <w:b/>
          <w:sz w:val="24"/>
        </w:rPr>
      </w:pPr>
      <w:r>
        <w:rPr>
          <w:b/>
          <w:sz w:val="24"/>
        </w:rPr>
        <w:t>投标人知悉</w:t>
      </w:r>
    </w:p>
    <w:p>
      <w:pPr>
        <w:numPr>
          <w:ilvl w:val="1"/>
          <w:numId w:val="16"/>
        </w:numPr>
        <w:tabs>
          <w:tab w:val="left" w:pos="824"/>
          <w:tab w:val="clear" w:pos="644"/>
        </w:tabs>
        <w:spacing w:line="460" w:lineRule="exact"/>
        <w:ind w:left="824" w:hanging="824"/>
      </w:pPr>
      <w:r>
        <w:rPr>
          <w:spacing w:val="10"/>
        </w:rPr>
        <w:t>凡参加本次招标的投标人被视为已充分认识和理解了任何与本项目有关的影响事项和困难、风险等情况。</w:t>
      </w:r>
    </w:p>
    <w:p>
      <w:pPr>
        <w:numPr>
          <w:ilvl w:val="0"/>
          <w:numId w:val="16"/>
        </w:numPr>
        <w:snapToGrid w:val="0"/>
        <w:spacing w:line="460" w:lineRule="exact"/>
        <w:jc w:val="both"/>
        <w:rPr>
          <w:b/>
          <w:sz w:val="24"/>
        </w:rPr>
      </w:pPr>
      <w:r>
        <w:rPr>
          <w:b/>
          <w:sz w:val="24"/>
        </w:rPr>
        <w:t>保证</w:t>
      </w:r>
    </w:p>
    <w:p>
      <w:pPr>
        <w:numPr>
          <w:ilvl w:val="1"/>
          <w:numId w:val="16"/>
        </w:numPr>
        <w:tabs>
          <w:tab w:val="left" w:pos="824"/>
          <w:tab w:val="clear" w:pos="644"/>
        </w:tabs>
        <w:spacing w:line="460" w:lineRule="exact"/>
        <w:ind w:left="824" w:hanging="824"/>
        <w:rPr>
          <w:spacing w:val="10"/>
        </w:rPr>
      </w:pPr>
      <w:r>
        <w:rPr>
          <w:spacing w:val="10"/>
        </w:rPr>
        <w:t>投标人应保证所提交给招标人和招标代理机构的资料和数据是真实、合法、有效的，并承担相应的法律责任。</w:t>
      </w:r>
    </w:p>
    <w:p>
      <w:pPr>
        <w:numPr>
          <w:ilvl w:val="0"/>
          <w:numId w:val="16"/>
        </w:numPr>
        <w:snapToGrid w:val="0"/>
        <w:spacing w:line="460" w:lineRule="exact"/>
        <w:jc w:val="both"/>
        <w:rPr>
          <w:b/>
          <w:sz w:val="24"/>
        </w:rPr>
      </w:pPr>
      <w:r>
        <w:rPr>
          <w:b/>
          <w:sz w:val="24"/>
        </w:rPr>
        <w:t>招标文件构成</w:t>
      </w:r>
      <w:bookmarkStart w:id="17" w:name="_Hlt509038174"/>
      <w:bookmarkEnd w:id="17"/>
    </w:p>
    <w:p>
      <w:pPr>
        <w:numPr>
          <w:ilvl w:val="1"/>
          <w:numId w:val="17"/>
        </w:numPr>
        <w:tabs>
          <w:tab w:val="left" w:pos="644"/>
          <w:tab w:val="left" w:pos="851"/>
        </w:tabs>
        <w:snapToGrid w:val="0"/>
        <w:spacing w:line="460" w:lineRule="exact"/>
        <w:ind w:left="851" w:hanging="851"/>
        <w:jc w:val="both"/>
      </w:pPr>
      <w:r>
        <w:t>要求提供的货物、服务、招标过程和合同条件在招标文件中均有说明。招标文件包括：</w:t>
      </w:r>
    </w:p>
    <w:p>
      <w:pPr>
        <w:snapToGrid w:val="0"/>
        <w:spacing w:line="460" w:lineRule="exact"/>
        <w:ind w:left="1260"/>
        <w:jc w:val="both"/>
      </w:pPr>
      <w:r>
        <w:t>第一部分   投标邀请函</w:t>
      </w:r>
    </w:p>
    <w:p>
      <w:pPr>
        <w:snapToGrid w:val="0"/>
        <w:spacing w:line="460" w:lineRule="exact"/>
        <w:ind w:left="1260"/>
        <w:jc w:val="both"/>
      </w:pPr>
      <w:r>
        <w:t>第二部分   用户需求书</w:t>
      </w:r>
    </w:p>
    <w:p>
      <w:pPr>
        <w:snapToGrid w:val="0"/>
        <w:spacing w:line="460" w:lineRule="exact"/>
        <w:ind w:left="1260"/>
        <w:jc w:val="both"/>
      </w:pPr>
      <w:r>
        <w:t>第三部分   投标人须知</w:t>
      </w:r>
    </w:p>
    <w:p>
      <w:pPr>
        <w:keepNext w:val="0"/>
        <w:keepLines w:val="0"/>
        <w:pageBreakBefore w:val="0"/>
        <w:widowControl/>
        <w:kinsoku/>
        <w:wordWrap/>
        <w:overflowPunct/>
        <w:topLinePunct w:val="0"/>
        <w:autoSpaceDE/>
        <w:autoSpaceDN/>
        <w:bidi w:val="0"/>
        <w:adjustRightInd/>
        <w:snapToGrid w:val="0"/>
        <w:spacing w:line="466" w:lineRule="exact"/>
        <w:ind w:left="1260" w:right="0" w:rightChars="0"/>
        <w:jc w:val="both"/>
        <w:textAlignment w:val="auto"/>
        <w:outlineLvl w:val="9"/>
      </w:pPr>
      <w:r>
        <w:t>第四部分   合同书格式</w:t>
      </w:r>
    </w:p>
    <w:p>
      <w:pPr>
        <w:keepNext w:val="0"/>
        <w:keepLines w:val="0"/>
        <w:pageBreakBefore w:val="0"/>
        <w:widowControl/>
        <w:kinsoku/>
        <w:wordWrap/>
        <w:overflowPunct/>
        <w:topLinePunct w:val="0"/>
        <w:autoSpaceDE/>
        <w:autoSpaceDN/>
        <w:bidi w:val="0"/>
        <w:adjustRightInd/>
        <w:snapToGrid w:val="0"/>
        <w:spacing w:line="466" w:lineRule="exact"/>
        <w:ind w:left="1260" w:right="0" w:rightChars="0"/>
        <w:jc w:val="both"/>
        <w:textAlignment w:val="auto"/>
        <w:outlineLvl w:val="9"/>
      </w:pPr>
      <w:r>
        <w:t>第五部分   投标文件格式</w:t>
      </w:r>
    </w:p>
    <w:p>
      <w:pPr>
        <w:numPr>
          <w:ilvl w:val="0"/>
          <w:numId w:val="0"/>
        </w:numPr>
        <w:tabs>
          <w:tab w:val="left" w:pos="851"/>
        </w:tabs>
        <w:snapToGrid w:val="0"/>
        <w:spacing w:line="460" w:lineRule="exact"/>
        <w:ind w:leftChars="0" w:firstLine="840" w:firstLineChars="400"/>
        <w:jc w:val="both"/>
        <w:rPr>
          <w:rFonts w:hint="eastAsia" w:ascii="Times New Roman" w:hAnsi="Times New Roman" w:cs="Times New Roman"/>
          <w:szCs w:val="22"/>
          <w:lang w:eastAsia="zh-CN"/>
        </w:rPr>
      </w:pPr>
      <w:r>
        <w:rPr>
          <w:rFonts w:hint="eastAsia" w:ascii="Times New Roman" w:hAnsi="Times New Roman" w:cs="Times New Roman"/>
          <w:szCs w:val="22"/>
          <w:lang w:eastAsia="zh-CN"/>
        </w:rPr>
        <w:t>及</w:t>
      </w:r>
      <w:r>
        <w:rPr>
          <w:rFonts w:hint="eastAsia" w:ascii="Times New Roman" w:hAnsi="Times New Roman" w:cs="Times New Roman"/>
          <w:szCs w:val="22"/>
        </w:rPr>
        <w:t>在招标过程中由招标代理机构发出的修正和补充文件等</w:t>
      </w:r>
      <w:r>
        <w:rPr>
          <w:rFonts w:hint="eastAsia" w:ascii="Times New Roman" w:hAnsi="Times New Roman" w:cs="Times New Roman"/>
          <w:szCs w:val="22"/>
          <w:lang w:eastAsia="zh-CN"/>
        </w:rPr>
        <w:t>。</w:t>
      </w:r>
    </w:p>
    <w:p>
      <w:pPr>
        <w:numPr>
          <w:ilvl w:val="1"/>
          <w:numId w:val="17"/>
        </w:numPr>
        <w:tabs>
          <w:tab w:val="left" w:pos="644"/>
          <w:tab w:val="left" w:pos="851"/>
        </w:tabs>
        <w:snapToGrid w:val="0"/>
        <w:spacing w:line="460" w:lineRule="exact"/>
        <w:ind w:left="851" w:hanging="851"/>
        <w:jc w:val="both"/>
        <w:rPr>
          <w:rFonts w:hint="eastAsia" w:ascii="Times New Roman" w:hAnsi="Times New Roman" w:cs="Times New Roman"/>
          <w:szCs w:val="22"/>
          <w:lang w:eastAsia="zh-CN"/>
        </w:rPr>
      </w:pPr>
      <w:r>
        <w:rPr>
          <w:rFonts w:hint="eastAsia" w:ascii="Times New Roman" w:hAnsi="Times New Roman" w:cs="Times New Roman"/>
          <w:szCs w:val="22"/>
          <w:lang w:val="en-US" w:eastAsia="zh-CN"/>
        </w:rPr>
        <w:t>投标人应认真阅读、并充分理解招标文件的全部内容（包括所有的补充、修改内容、重要事项、格式、条款和技术规范、参数及要求等），并应完整、真实、准确的填写招标文件中规定的所有内容。投标人没有按照招标文件要求提交全部资料，或者投标文件没有对招标文件在各方面都做出实质性响应是投标人的风险，有可能导致其投标被拒绝，或被认定为无效投标或被确定为投标无效。</w:t>
      </w:r>
    </w:p>
    <w:p>
      <w:pPr>
        <w:keepNext w:val="0"/>
        <w:keepLines w:val="0"/>
        <w:pageBreakBefore w:val="0"/>
        <w:widowControl/>
        <w:numPr>
          <w:ilvl w:val="0"/>
          <w:numId w:val="17"/>
        </w:numPr>
        <w:tabs>
          <w:tab w:val="left" w:pos="851"/>
        </w:tabs>
        <w:kinsoku/>
        <w:wordWrap/>
        <w:overflowPunct/>
        <w:topLinePunct w:val="0"/>
        <w:autoSpaceDE/>
        <w:autoSpaceDN/>
        <w:bidi w:val="0"/>
        <w:adjustRightInd/>
        <w:snapToGrid w:val="0"/>
        <w:spacing w:line="466" w:lineRule="exact"/>
        <w:ind w:right="0" w:rightChars="0"/>
        <w:jc w:val="both"/>
        <w:textAlignment w:val="auto"/>
        <w:outlineLvl w:val="9"/>
        <w:rPr>
          <w:b/>
          <w:sz w:val="24"/>
          <w:highlight w:val="none"/>
        </w:rPr>
      </w:pPr>
      <w:r>
        <w:rPr>
          <w:b/>
          <w:sz w:val="24"/>
          <w:highlight w:val="none"/>
        </w:rPr>
        <w:t>招标文件的澄清和修改</w:t>
      </w:r>
    </w:p>
    <w:p>
      <w:pPr>
        <w:numPr>
          <w:ilvl w:val="1"/>
          <w:numId w:val="16"/>
        </w:numPr>
        <w:tabs>
          <w:tab w:val="left" w:pos="848"/>
          <w:tab w:val="clear" w:pos="644"/>
        </w:tabs>
        <w:snapToGrid w:val="0"/>
        <w:spacing w:line="460" w:lineRule="exact"/>
        <w:ind w:left="848" w:hanging="848"/>
        <w:rPr>
          <w:rFonts w:hint="eastAsia" w:ascii="宋体" w:hAnsi="宋体" w:cs="宋体"/>
          <w:kern w:val="2"/>
          <w:szCs w:val="21"/>
        </w:rPr>
      </w:pPr>
      <w:r>
        <w:rPr>
          <w:rFonts w:hint="eastAsia"/>
          <w:szCs w:val="22"/>
        </w:rPr>
        <w:t>潜在投标人向招标人（或招标代理机构）提交有关问题的，可按《投标邀请函》规定的时间内在中山市公共资源交易中心网站登入综合交易系统，凭GDCAKEY登入综合交易平台，点击“答疑管理”，选择“提疑”进入详细列表页，选择对应项目编辑提问信息，确认内容无误，点击保存并提交。即可提出问题，保存后即可提交。且所提交的资料以无记名形式提交，不得有任何可识别投标人单位及人员的标识。</w:t>
      </w:r>
    </w:p>
    <w:p>
      <w:pPr>
        <w:numPr>
          <w:ilvl w:val="1"/>
          <w:numId w:val="16"/>
        </w:numPr>
        <w:tabs>
          <w:tab w:val="left" w:pos="848"/>
          <w:tab w:val="clear" w:pos="644"/>
        </w:tabs>
        <w:snapToGrid w:val="0"/>
        <w:spacing w:line="460" w:lineRule="exact"/>
        <w:ind w:left="848" w:hanging="848"/>
        <w:rPr>
          <w:rFonts w:hint="eastAsia" w:ascii="宋体" w:hAnsi="宋体" w:cs="宋体"/>
          <w:kern w:val="2"/>
          <w:szCs w:val="21"/>
        </w:rPr>
      </w:pPr>
      <w:r>
        <w:rPr>
          <w:rFonts w:hint="eastAsia" w:ascii="宋体" w:hAnsi="宋体" w:cs="宋体"/>
          <w:kern w:val="2"/>
          <w:szCs w:val="21"/>
        </w:rPr>
        <w:t>招标人（招标代理）收集相关问题，组织有关单位人员答复并形成答疑纪要。按投标人须知前附表第13项规定的时间在中山市公共资源交易中心网站“综合交易答疑”栏发布答疑纪要。对投标人编制标书时间造成影响的答疑纪要，招标人需于投标截止前15日向投标人发出。</w:t>
      </w:r>
    </w:p>
    <w:p>
      <w:pPr>
        <w:numPr>
          <w:ilvl w:val="1"/>
          <w:numId w:val="16"/>
        </w:numPr>
        <w:tabs>
          <w:tab w:val="left" w:pos="848"/>
          <w:tab w:val="clear" w:pos="644"/>
        </w:tabs>
        <w:snapToGrid w:val="0"/>
        <w:spacing w:line="460" w:lineRule="exact"/>
        <w:ind w:left="848" w:hanging="848"/>
        <w:rPr>
          <w:rFonts w:ascii="宋体" w:hAnsi="宋体" w:cs="宋体"/>
          <w:kern w:val="2"/>
          <w:szCs w:val="21"/>
        </w:rPr>
      </w:pPr>
      <w:r>
        <w:rPr>
          <w:rFonts w:hint="eastAsia" w:ascii="宋体" w:hAnsi="宋体" w:cs="宋体"/>
          <w:kern w:val="2"/>
          <w:szCs w:val="21"/>
        </w:rPr>
        <w:t>各潜在投标人自行在中山市公共资源交易中心网站“综合交易答疑”栏下载答疑纪要，招标人不再另行通知。投标人因自身原因未能获取答疑资料造成的后果，由投标人自行承担。</w:t>
      </w:r>
    </w:p>
    <w:p>
      <w:pPr>
        <w:numPr>
          <w:ilvl w:val="1"/>
          <w:numId w:val="16"/>
        </w:numPr>
        <w:tabs>
          <w:tab w:val="left" w:pos="848"/>
          <w:tab w:val="clear" w:pos="644"/>
        </w:tabs>
        <w:snapToGrid w:val="0"/>
        <w:spacing w:line="460" w:lineRule="exact"/>
        <w:ind w:left="848" w:hanging="848"/>
        <w:rPr>
          <w:rFonts w:hint="eastAsia" w:ascii="宋体" w:hAnsi="宋体" w:cs="宋体"/>
          <w:kern w:val="2"/>
          <w:szCs w:val="21"/>
        </w:rPr>
      </w:pPr>
      <w:r>
        <w:rPr>
          <w:rFonts w:hint="eastAsia" w:ascii="宋体" w:hAnsi="宋体" w:cs="宋体"/>
          <w:kern w:val="2"/>
          <w:szCs w:val="21"/>
        </w:rPr>
        <w:t>投标人在规定的时间内未对招标文件澄清或提出疑问的，招标人或招标代理机构将视其为无异议。</w:t>
      </w:r>
    </w:p>
    <w:p>
      <w:pPr>
        <w:numPr>
          <w:ilvl w:val="1"/>
          <w:numId w:val="16"/>
        </w:numPr>
        <w:tabs>
          <w:tab w:val="left" w:pos="848"/>
          <w:tab w:val="clear" w:pos="644"/>
        </w:tabs>
        <w:snapToGrid w:val="0"/>
        <w:spacing w:line="460" w:lineRule="exact"/>
        <w:ind w:left="848" w:hanging="848"/>
        <w:rPr>
          <w:b/>
          <w:sz w:val="24"/>
        </w:rPr>
      </w:pPr>
      <w:r>
        <w:rPr>
          <w:rFonts w:hint="eastAsia" w:ascii="宋体" w:hAnsi="宋体" w:cs="宋体"/>
          <w:kern w:val="2"/>
          <w:szCs w:val="21"/>
        </w:rPr>
        <w:t>在投标截止时间15天前，招标人可以网络形式修改招标文件。修改的内容可能影响投标文件编制的，招标人应当在投标截止时间至少15日前，在中山市公共资源交易信息网上发布发给所有投标人，不足15天的，招标人相应延长投标截止时间。</w:t>
      </w:r>
    </w:p>
    <w:p>
      <w:pPr>
        <w:numPr>
          <w:ilvl w:val="1"/>
          <w:numId w:val="16"/>
        </w:numPr>
        <w:tabs>
          <w:tab w:val="left" w:pos="848"/>
          <w:tab w:val="clear" w:pos="644"/>
        </w:tabs>
        <w:snapToGrid w:val="0"/>
        <w:spacing w:line="460" w:lineRule="exact"/>
        <w:ind w:left="848" w:hanging="848"/>
        <w:rPr>
          <w:b/>
          <w:sz w:val="24"/>
        </w:rPr>
      </w:pPr>
      <w:r>
        <w:rPr>
          <w:rFonts w:hint="eastAsia" w:ascii="宋体" w:hAnsi="宋体" w:cs="宋体"/>
          <w:kern w:val="2"/>
          <w:szCs w:val="21"/>
        </w:rPr>
        <w:t>投标人应随时关注中山市公共资源交易信息网，自行在中山市公共资源交易信息网“综合交易-交易答疑澄清”栏下载答疑纪要，招标人不再另行通知。投标人因自身原因未能获取答疑资料造成的后果，由投标人自行承担。招标文件的修改内容作为招标文件的组成部分，具有约束作用。</w:t>
      </w:r>
    </w:p>
    <w:p>
      <w:pPr>
        <w:keepNext w:val="0"/>
        <w:keepLines w:val="0"/>
        <w:pageBreakBefore w:val="0"/>
        <w:widowControl/>
        <w:numPr>
          <w:ilvl w:val="0"/>
          <w:numId w:val="17"/>
        </w:numPr>
        <w:tabs>
          <w:tab w:val="left" w:pos="851"/>
        </w:tabs>
        <w:kinsoku/>
        <w:wordWrap/>
        <w:overflowPunct/>
        <w:topLinePunct w:val="0"/>
        <w:autoSpaceDE/>
        <w:autoSpaceDN/>
        <w:bidi w:val="0"/>
        <w:adjustRightInd/>
        <w:snapToGrid w:val="0"/>
        <w:spacing w:line="466" w:lineRule="exact"/>
        <w:ind w:right="0" w:rightChars="0"/>
        <w:jc w:val="both"/>
        <w:textAlignment w:val="auto"/>
        <w:outlineLvl w:val="9"/>
        <w:rPr>
          <w:b/>
          <w:sz w:val="24"/>
        </w:rPr>
      </w:pPr>
      <w:r>
        <w:rPr>
          <w:b/>
          <w:sz w:val="24"/>
        </w:rPr>
        <w:t>投标语言及计量</w:t>
      </w:r>
    </w:p>
    <w:p>
      <w:pPr>
        <w:keepNext w:val="0"/>
        <w:keepLines w:val="0"/>
        <w:pageBreakBefore w:val="0"/>
        <w:widowControl/>
        <w:numPr>
          <w:ilvl w:val="1"/>
          <w:numId w:val="17"/>
        </w:numPr>
        <w:tabs>
          <w:tab w:val="left" w:pos="644"/>
          <w:tab w:val="left" w:pos="851"/>
        </w:tabs>
        <w:kinsoku/>
        <w:wordWrap/>
        <w:overflowPunct/>
        <w:topLinePunct w:val="0"/>
        <w:autoSpaceDE/>
        <w:autoSpaceDN/>
        <w:bidi w:val="0"/>
        <w:adjustRightInd/>
        <w:snapToGrid w:val="0"/>
        <w:spacing w:line="466" w:lineRule="exact"/>
        <w:ind w:left="851" w:right="0" w:rightChars="0" w:hanging="851"/>
        <w:jc w:val="both"/>
        <w:textAlignment w:val="auto"/>
        <w:outlineLvl w:val="9"/>
      </w:pPr>
      <w:r>
        <w:t>投标人提交的投标文件以及投标人与招标代理机构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keepNext w:val="0"/>
        <w:keepLines w:val="0"/>
        <w:pageBreakBefore w:val="0"/>
        <w:widowControl/>
        <w:numPr>
          <w:ilvl w:val="1"/>
          <w:numId w:val="17"/>
        </w:numPr>
        <w:tabs>
          <w:tab w:val="left" w:pos="644"/>
          <w:tab w:val="left" w:pos="851"/>
        </w:tabs>
        <w:kinsoku/>
        <w:wordWrap/>
        <w:overflowPunct/>
        <w:topLinePunct w:val="0"/>
        <w:autoSpaceDE/>
        <w:autoSpaceDN/>
        <w:bidi w:val="0"/>
        <w:adjustRightInd/>
        <w:snapToGrid w:val="0"/>
        <w:spacing w:line="466" w:lineRule="exact"/>
        <w:ind w:left="851" w:right="0" w:rightChars="0" w:hanging="851"/>
        <w:jc w:val="both"/>
        <w:textAlignment w:val="auto"/>
        <w:outlineLvl w:val="9"/>
        <w:rPr>
          <w:sz w:val="24"/>
        </w:rPr>
      </w:pPr>
      <w:r>
        <w:t>除在招标文件的技术规格中另有规定外，计量单位应使用中华人民共和国法定计量单位(国际单位制和国家选定的其他计量单位)。</w:t>
      </w:r>
    </w:p>
    <w:p>
      <w:pPr>
        <w:keepNext w:val="0"/>
        <w:keepLines w:val="0"/>
        <w:pageBreakBefore w:val="0"/>
        <w:widowControl/>
        <w:numPr>
          <w:ilvl w:val="0"/>
          <w:numId w:val="17"/>
        </w:numPr>
        <w:tabs>
          <w:tab w:val="left" w:pos="851"/>
        </w:tabs>
        <w:kinsoku/>
        <w:wordWrap/>
        <w:overflowPunct/>
        <w:topLinePunct w:val="0"/>
        <w:autoSpaceDE/>
        <w:autoSpaceDN/>
        <w:bidi w:val="0"/>
        <w:snapToGrid w:val="0"/>
        <w:spacing w:line="466" w:lineRule="exact"/>
        <w:ind w:right="0" w:rightChars="0"/>
        <w:jc w:val="both"/>
        <w:textAlignment w:val="auto"/>
        <w:outlineLvl w:val="9"/>
        <w:rPr>
          <w:b/>
          <w:bCs/>
        </w:rPr>
      </w:pPr>
      <w:r>
        <w:rPr>
          <w:b/>
          <w:sz w:val="24"/>
        </w:rPr>
        <w:t>投标文件的构成</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b/>
          <w:bCs/>
        </w:rPr>
      </w:pPr>
      <w:r>
        <w:rPr>
          <w:b/>
        </w:rPr>
        <w:t>商务文件部分：</w:t>
      </w:r>
    </w:p>
    <w:p>
      <w:pPr>
        <w:keepNext w:val="0"/>
        <w:keepLines w:val="0"/>
        <w:pageBreakBefore w:val="0"/>
        <w:widowControl/>
        <w:numPr>
          <w:ilvl w:val="1"/>
          <w:numId w:val="18"/>
        </w:numPr>
        <w:tabs>
          <w:tab w:val="left" w:pos="851"/>
          <w:tab w:val="left" w:pos="926"/>
        </w:tabs>
        <w:kinsoku/>
        <w:wordWrap/>
        <w:overflowPunct/>
        <w:topLinePunct w:val="0"/>
        <w:autoSpaceDE/>
        <w:autoSpaceDN/>
        <w:bidi w:val="0"/>
        <w:snapToGrid w:val="0"/>
        <w:spacing w:line="466" w:lineRule="exact"/>
        <w:ind w:right="0" w:rightChars="0" w:hanging="1140"/>
        <w:textAlignment w:val="auto"/>
        <w:outlineLvl w:val="9"/>
        <w:rPr>
          <w:rFonts w:hint="eastAsia" w:ascii="宋体" w:hAnsi="宋体" w:cs="宋体"/>
          <w:b/>
          <w:bCs/>
          <w:szCs w:val="21"/>
        </w:rPr>
      </w:pPr>
      <w:r>
        <w:rPr>
          <w:rFonts w:hint="eastAsia" w:ascii="宋体" w:hAnsi="宋体" w:cs="宋体"/>
          <w:b/>
          <w:bCs/>
          <w:szCs w:val="21"/>
        </w:rPr>
        <w:t>报价文件格式</w:t>
      </w:r>
    </w:p>
    <w:p>
      <w:pPr>
        <w:keepNext w:val="0"/>
        <w:keepLines w:val="0"/>
        <w:pageBreakBefore w:val="0"/>
        <w:widowControl/>
        <w:tabs>
          <w:tab w:val="left" w:pos="1272"/>
        </w:tabs>
        <w:kinsoku/>
        <w:wordWrap/>
        <w:overflowPunct/>
        <w:topLinePunct w:val="0"/>
        <w:autoSpaceDE/>
        <w:autoSpaceDN/>
        <w:bidi w:val="0"/>
        <w:adjustRightInd w:val="0"/>
        <w:spacing w:line="466" w:lineRule="exact"/>
        <w:ind w:right="0" w:rightChars="0" w:firstLine="945" w:firstLineChars="450"/>
        <w:jc w:val="left"/>
        <w:textAlignment w:val="auto"/>
        <w:outlineLvl w:val="9"/>
        <w:rPr>
          <w:rFonts w:hint="eastAsia" w:ascii="宋体" w:hAnsi="宋体" w:cs="宋体"/>
          <w:szCs w:val="21"/>
        </w:rPr>
      </w:pPr>
      <w:r>
        <w:rPr>
          <w:rFonts w:hint="eastAsia" w:ascii="宋体" w:hAnsi="宋体" w:cs="宋体"/>
          <w:szCs w:val="21"/>
        </w:rPr>
        <w:t>1、开标一览表</w:t>
      </w:r>
    </w:p>
    <w:p>
      <w:pPr>
        <w:keepNext w:val="0"/>
        <w:keepLines w:val="0"/>
        <w:pageBreakBefore w:val="0"/>
        <w:widowControl/>
        <w:tabs>
          <w:tab w:val="left" w:pos="1272"/>
        </w:tabs>
        <w:kinsoku/>
        <w:wordWrap/>
        <w:overflowPunct/>
        <w:topLinePunct w:val="0"/>
        <w:autoSpaceDE/>
        <w:autoSpaceDN/>
        <w:bidi w:val="0"/>
        <w:adjustRightInd w:val="0"/>
        <w:spacing w:line="466" w:lineRule="exact"/>
        <w:ind w:right="0" w:rightChars="0" w:firstLine="945" w:firstLineChars="450"/>
        <w:jc w:val="left"/>
        <w:textAlignment w:val="auto"/>
        <w:outlineLvl w:val="9"/>
        <w:rPr>
          <w:rFonts w:hint="eastAsia" w:ascii="宋体" w:hAnsi="宋体" w:cs="宋体"/>
          <w:szCs w:val="21"/>
        </w:rPr>
      </w:pPr>
      <w:r>
        <w:rPr>
          <w:rFonts w:hint="eastAsia" w:ascii="宋体" w:hAnsi="宋体" w:cs="宋体"/>
          <w:szCs w:val="21"/>
        </w:rPr>
        <w:t>2、详细报价清单</w:t>
      </w:r>
    </w:p>
    <w:p>
      <w:pPr>
        <w:keepNext w:val="0"/>
        <w:keepLines w:val="0"/>
        <w:pageBreakBefore w:val="0"/>
        <w:widowControl/>
        <w:numPr>
          <w:ilvl w:val="1"/>
          <w:numId w:val="18"/>
        </w:numPr>
        <w:tabs>
          <w:tab w:val="left" w:pos="851"/>
          <w:tab w:val="left" w:pos="926"/>
        </w:tabs>
        <w:kinsoku/>
        <w:wordWrap/>
        <w:overflowPunct/>
        <w:topLinePunct w:val="0"/>
        <w:autoSpaceDE/>
        <w:autoSpaceDN/>
        <w:bidi w:val="0"/>
        <w:snapToGrid w:val="0"/>
        <w:spacing w:line="466" w:lineRule="exact"/>
        <w:ind w:left="851" w:right="0" w:rightChars="0" w:hanging="851"/>
        <w:textAlignment w:val="auto"/>
        <w:outlineLvl w:val="9"/>
        <w:rPr>
          <w:rFonts w:hint="eastAsia" w:ascii="宋体" w:hAnsi="宋体" w:cs="宋体"/>
          <w:b/>
          <w:bCs/>
          <w:szCs w:val="21"/>
        </w:rPr>
      </w:pPr>
      <w:r>
        <w:rPr>
          <w:rFonts w:hint="eastAsia" w:ascii="宋体" w:hAnsi="宋体" w:cs="宋体"/>
          <w:b/>
          <w:szCs w:val="21"/>
        </w:rPr>
        <w:t>商务文件格式：</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投标函</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法定代表人证明书/法定代表人授权书</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商务条款偏离表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重要指标响应表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投标人基本情况表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售后服务机构情况表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lang w:eastAsia="zh-CN"/>
        </w:rPr>
        <w:t>近</w:t>
      </w:r>
      <w:r>
        <w:rPr>
          <w:rFonts w:hint="eastAsia" w:ascii="宋体" w:hAnsi="宋体" w:cs="宋体"/>
          <w:szCs w:val="21"/>
          <w:lang w:val="en-US" w:eastAsia="zh-CN"/>
        </w:rPr>
        <w:t>2年</w:t>
      </w:r>
      <w:r>
        <w:rPr>
          <w:rFonts w:hint="eastAsia" w:ascii="宋体" w:hAnsi="宋体" w:cs="宋体"/>
          <w:szCs w:val="21"/>
        </w:rPr>
        <w:t>承接的同类项目</w:t>
      </w:r>
      <w:r>
        <w:rPr>
          <w:rFonts w:hint="eastAsia" w:ascii="宋体" w:hAnsi="宋体" w:cs="宋体"/>
          <w:szCs w:val="21"/>
          <w:lang w:eastAsia="zh-CN"/>
        </w:rPr>
        <w:t>业绩</w:t>
      </w:r>
      <w:r>
        <w:rPr>
          <w:rFonts w:hint="eastAsia" w:ascii="宋体" w:hAnsi="宋体" w:cs="宋体"/>
          <w:szCs w:val="21"/>
        </w:rPr>
        <w:t>一览表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投标保证金退还说明格式</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中标服务费承诺书</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rPr>
        <w:t>投标保证金汇款凭证复印件</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资格声明函</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其他资格证明材料</w:t>
      </w:r>
    </w:p>
    <w:p>
      <w:pPr>
        <w:keepNext w:val="0"/>
        <w:keepLines w:val="0"/>
        <w:pageBreakBefore w:val="0"/>
        <w:widowControl/>
        <w:numPr>
          <w:ilvl w:val="1"/>
          <w:numId w:val="18"/>
        </w:numPr>
        <w:tabs>
          <w:tab w:val="left" w:pos="851"/>
          <w:tab w:val="left" w:pos="926"/>
        </w:tabs>
        <w:kinsoku/>
        <w:wordWrap/>
        <w:overflowPunct/>
        <w:topLinePunct w:val="0"/>
        <w:autoSpaceDE/>
        <w:autoSpaceDN/>
        <w:bidi w:val="0"/>
        <w:snapToGrid w:val="0"/>
        <w:spacing w:line="466" w:lineRule="exact"/>
        <w:ind w:left="851" w:right="0" w:rightChars="0" w:hanging="851"/>
        <w:textAlignment w:val="auto"/>
        <w:outlineLvl w:val="9"/>
        <w:rPr>
          <w:rFonts w:hint="eastAsia" w:ascii="宋体" w:hAnsi="宋体" w:cs="宋体"/>
          <w:b/>
          <w:szCs w:val="21"/>
        </w:rPr>
      </w:pPr>
      <w:r>
        <w:rPr>
          <w:rFonts w:hint="eastAsia" w:ascii="宋体" w:hAnsi="宋体" w:cs="宋体"/>
          <w:b/>
          <w:szCs w:val="21"/>
        </w:rPr>
        <w:t>技术文件格式</w:t>
      </w:r>
    </w:p>
    <w:p>
      <w:pPr>
        <w:pStyle w:val="7"/>
        <w:keepNext w:val="0"/>
        <w:keepLines w:val="0"/>
        <w:pageBreakBefore w:val="0"/>
        <w:widowControl/>
        <w:numPr>
          <w:ilvl w:val="0"/>
          <w:numId w:val="20"/>
        </w:numPr>
        <w:tabs>
          <w:tab w:val="left" w:pos="1260"/>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rPr>
        <w:t>技术规格偏离表</w:t>
      </w:r>
    </w:p>
    <w:p>
      <w:pPr>
        <w:pStyle w:val="7"/>
        <w:keepNext w:val="0"/>
        <w:keepLines w:val="0"/>
        <w:pageBreakBefore w:val="0"/>
        <w:widowControl/>
        <w:numPr>
          <w:ilvl w:val="0"/>
          <w:numId w:val="20"/>
        </w:numPr>
        <w:tabs>
          <w:tab w:val="left" w:pos="1260"/>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lang w:eastAsia="zh-CN"/>
        </w:rPr>
        <w:t>技术方案</w:t>
      </w:r>
    </w:p>
    <w:p>
      <w:pPr>
        <w:pStyle w:val="7"/>
        <w:keepNext w:val="0"/>
        <w:keepLines w:val="0"/>
        <w:pageBreakBefore w:val="0"/>
        <w:widowControl/>
        <w:numPr>
          <w:ilvl w:val="0"/>
          <w:numId w:val="20"/>
        </w:numPr>
        <w:tabs>
          <w:tab w:val="left" w:pos="1260"/>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投标人认为必要的其他技术资料</w:t>
      </w:r>
    </w:p>
    <w:p>
      <w:pPr>
        <w:keepNext w:val="0"/>
        <w:keepLines w:val="0"/>
        <w:pageBreakBefore w:val="0"/>
        <w:widowControl/>
        <w:kinsoku/>
        <w:wordWrap/>
        <w:overflowPunct/>
        <w:topLinePunct w:val="0"/>
        <w:autoSpaceDE/>
        <w:autoSpaceDN/>
        <w:bidi w:val="0"/>
        <w:snapToGrid w:val="0"/>
        <w:spacing w:line="466" w:lineRule="exact"/>
        <w:ind w:right="0" w:rightChars="0" w:firstLine="105" w:firstLineChars="50"/>
        <w:jc w:val="both"/>
        <w:textAlignment w:val="auto"/>
        <w:outlineLvl w:val="9"/>
        <w:rPr>
          <w:b/>
          <w:bCs/>
        </w:rPr>
      </w:pPr>
      <w:r>
        <w:rPr>
          <w:b/>
          <w:bCs/>
        </w:rPr>
        <w:t>投标人有义务按照以上构成要求将投标文件编上唯一的连贯页码并装订成册，不得出现重页或缺页。</w:t>
      </w:r>
    </w:p>
    <w:p>
      <w:pPr>
        <w:keepNext w:val="0"/>
        <w:keepLines w:val="0"/>
        <w:pageBreakBefore w:val="0"/>
        <w:widowControl/>
        <w:numPr>
          <w:ilvl w:val="0"/>
          <w:numId w:val="17"/>
        </w:numPr>
        <w:tabs>
          <w:tab w:val="left" w:pos="851"/>
        </w:tabs>
        <w:kinsoku/>
        <w:wordWrap/>
        <w:overflowPunct/>
        <w:topLinePunct w:val="0"/>
        <w:autoSpaceDE/>
        <w:autoSpaceDN/>
        <w:bidi w:val="0"/>
        <w:snapToGrid w:val="0"/>
        <w:spacing w:line="466" w:lineRule="exact"/>
        <w:ind w:right="0" w:rightChars="0"/>
        <w:jc w:val="both"/>
        <w:textAlignment w:val="auto"/>
        <w:outlineLvl w:val="9"/>
        <w:rPr>
          <w:b/>
          <w:sz w:val="24"/>
        </w:rPr>
      </w:pPr>
      <w:r>
        <w:rPr>
          <w:b/>
          <w:sz w:val="24"/>
        </w:rPr>
        <w:t>投标报价说明</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投标人应按招标文件格式要求填写《详细报价清单》。</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投标人所报的投标价在合同执行期间是固定不变的，不得以任何理由予以变更。投标价不是固定价的投标文件将作为非响应性投标而予以拒绝。</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投标报价应为所投项目的最终报价，包含一切税费；投标人应自行增加系统正常、合法运行及使用所必需但招标文件没有包含的所有部件、版权、专利等一切费用，如果投标人在中标并签署合同后，在供货、安装、调试、培训等工作中出现硬件、软件等的任何遗漏，均由中标人免费提供，招标方将不再支付任何费用。</w:t>
      </w:r>
    </w:p>
    <w:p>
      <w:pPr>
        <w:keepNext w:val="0"/>
        <w:keepLines w:val="0"/>
        <w:pageBreakBefore w:val="0"/>
        <w:widowControl/>
        <w:numPr>
          <w:ilvl w:val="0"/>
          <w:numId w:val="17"/>
        </w:numPr>
        <w:tabs>
          <w:tab w:val="left" w:pos="851"/>
        </w:tabs>
        <w:kinsoku/>
        <w:wordWrap/>
        <w:overflowPunct/>
        <w:topLinePunct w:val="0"/>
        <w:autoSpaceDE/>
        <w:autoSpaceDN/>
        <w:bidi w:val="0"/>
        <w:snapToGrid w:val="0"/>
        <w:spacing w:line="466" w:lineRule="exact"/>
        <w:ind w:right="0" w:rightChars="0"/>
        <w:jc w:val="both"/>
        <w:textAlignment w:val="auto"/>
        <w:outlineLvl w:val="9"/>
        <w:rPr>
          <w:b/>
          <w:sz w:val="24"/>
        </w:rPr>
      </w:pPr>
      <w:r>
        <w:rPr>
          <w:b/>
          <w:sz w:val="24"/>
        </w:rPr>
        <w:t>投标货币</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投标人提供的货物和服务价格用人民币报价。</w:t>
      </w:r>
    </w:p>
    <w:p>
      <w:pPr>
        <w:keepNext w:val="0"/>
        <w:keepLines w:val="0"/>
        <w:pageBreakBefore w:val="0"/>
        <w:widowControl/>
        <w:numPr>
          <w:ilvl w:val="0"/>
          <w:numId w:val="17"/>
        </w:numPr>
        <w:tabs>
          <w:tab w:val="left" w:pos="851"/>
        </w:tabs>
        <w:kinsoku/>
        <w:wordWrap/>
        <w:overflowPunct/>
        <w:topLinePunct w:val="0"/>
        <w:autoSpaceDE/>
        <w:autoSpaceDN/>
        <w:bidi w:val="0"/>
        <w:snapToGrid w:val="0"/>
        <w:spacing w:line="466" w:lineRule="exact"/>
        <w:ind w:right="0" w:rightChars="0"/>
        <w:jc w:val="both"/>
        <w:textAlignment w:val="auto"/>
        <w:outlineLvl w:val="9"/>
        <w:rPr>
          <w:b/>
          <w:sz w:val="24"/>
        </w:rPr>
      </w:pPr>
      <w:r>
        <w:rPr>
          <w:b/>
          <w:sz w:val="24"/>
        </w:rPr>
        <w:t>证明投标人合资格的文件</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投标人应提交证明其有资格参加投标和中标后有能力履行合同的文件，以及证明其拟供的合同项下的货物和服务的合格性符合招标文件规定的文件，并作为其投标文件的一部分。</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投标人提交的中标后履行合同的资格证明文件应满足招标文件中对资格证明文件的要求。</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0" w:lineRule="exact"/>
        <w:ind w:left="851" w:right="0" w:rightChars="0" w:hanging="851"/>
        <w:jc w:val="both"/>
        <w:textAlignment w:val="auto"/>
        <w:outlineLvl w:val="9"/>
      </w:pPr>
      <w:r>
        <w:t>证明货物和服务与招标文件的要求相一致的文件，可以是文字资料、图纸，包括货物的主要指标、性能和系统安装调试、验收的详细说明。</w:t>
      </w:r>
    </w:p>
    <w:p>
      <w:pPr>
        <w:numPr>
          <w:ilvl w:val="0"/>
          <w:numId w:val="17"/>
        </w:numPr>
        <w:tabs>
          <w:tab w:val="left" w:pos="851"/>
        </w:tabs>
        <w:snapToGrid w:val="0"/>
        <w:spacing w:line="460" w:lineRule="exact"/>
        <w:jc w:val="both"/>
        <w:rPr>
          <w:b/>
          <w:sz w:val="24"/>
        </w:rPr>
      </w:pPr>
      <w:r>
        <w:rPr>
          <w:b/>
          <w:sz w:val="24"/>
        </w:rPr>
        <w:t>投标保证金</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rFonts w:hint="eastAsia"/>
          <w:szCs w:val="22"/>
        </w:rPr>
      </w:pPr>
      <w:r>
        <w:rPr>
          <w:rFonts w:hint="eastAsia"/>
          <w:szCs w:val="22"/>
        </w:rPr>
        <w:t>投标人应按招标文件规定的金额和期限交纳投标保证金，投标保证金作为投标文件的组成部分。</w:t>
      </w:r>
    </w:p>
    <w:p>
      <w:pPr>
        <w:keepNext w:val="0"/>
        <w:keepLines w:val="0"/>
        <w:pageBreakBefore w:val="0"/>
        <w:widowControl/>
        <w:numPr>
          <w:ilvl w:val="1"/>
          <w:numId w:val="17"/>
        </w:numPr>
        <w:tabs>
          <w:tab w:val="left" w:pos="644"/>
          <w:tab w:val="left" w:pos="851"/>
        </w:tabs>
        <w:kinsoku/>
        <w:wordWrap/>
        <w:overflowPunct/>
        <w:topLinePunct w:val="0"/>
        <w:autoSpaceDE/>
        <w:autoSpaceDN/>
        <w:bidi w:val="0"/>
        <w:adjustRightInd/>
        <w:snapToGrid w:val="0"/>
        <w:spacing w:line="408" w:lineRule="auto"/>
        <w:ind w:left="850" w:right="0" w:rightChars="0" w:hanging="850"/>
        <w:jc w:val="both"/>
        <w:textAlignment w:val="auto"/>
        <w:outlineLvl w:val="9"/>
        <w:rPr>
          <w:rFonts w:hint="eastAsia"/>
          <w:szCs w:val="22"/>
        </w:rPr>
      </w:pPr>
      <w:r>
        <w:rPr>
          <w:rFonts w:hint="eastAsia"/>
          <w:szCs w:val="22"/>
        </w:rPr>
        <w:t>投标人必须按（综合交易）网上缴纳保证金通知书规定的方式提交投标保证金，</w:t>
      </w:r>
      <w:r>
        <w:rPr>
          <w:rFonts w:hint="eastAsia"/>
          <w:b/>
          <w:bCs/>
          <w:szCs w:val="22"/>
          <w:u w:val="single"/>
        </w:rPr>
        <w:t>投标保证金为：¥</w:t>
      </w:r>
      <w:r>
        <w:rPr>
          <w:rFonts w:hint="eastAsia"/>
          <w:b/>
          <w:bCs/>
          <w:szCs w:val="22"/>
          <w:u w:val="single"/>
          <w:lang w:val="en-US" w:eastAsia="zh-CN"/>
        </w:rPr>
        <w:t>38000</w:t>
      </w:r>
      <w:r>
        <w:rPr>
          <w:rFonts w:hint="eastAsia"/>
          <w:b/>
          <w:bCs/>
          <w:szCs w:val="22"/>
          <w:u w:val="single"/>
        </w:rPr>
        <w:t>.00（大写：人民币</w:t>
      </w:r>
      <w:r>
        <w:rPr>
          <w:rFonts w:hint="eastAsia"/>
          <w:b/>
          <w:bCs/>
          <w:szCs w:val="22"/>
          <w:u w:val="single"/>
          <w:lang w:eastAsia="zh-CN"/>
        </w:rPr>
        <w:t>叁</w:t>
      </w:r>
      <w:r>
        <w:rPr>
          <w:rFonts w:hint="eastAsia"/>
          <w:b/>
          <w:bCs/>
          <w:szCs w:val="22"/>
          <w:u w:val="single"/>
        </w:rPr>
        <w:t>万</w:t>
      </w:r>
      <w:r>
        <w:rPr>
          <w:rFonts w:hint="eastAsia"/>
          <w:b/>
          <w:bCs/>
          <w:szCs w:val="22"/>
          <w:u w:val="single"/>
          <w:lang w:eastAsia="zh-CN"/>
        </w:rPr>
        <w:t>捌仟</w:t>
      </w:r>
      <w:r>
        <w:rPr>
          <w:rFonts w:hint="eastAsia"/>
          <w:b/>
          <w:bCs/>
          <w:szCs w:val="22"/>
          <w:u w:val="single"/>
        </w:rPr>
        <w:t>元整）</w:t>
      </w:r>
      <w:r>
        <w:rPr>
          <w:rFonts w:hint="eastAsia"/>
          <w:b/>
          <w:bCs/>
          <w:szCs w:val="22"/>
        </w:rPr>
        <w:t>。报名投标人应</w:t>
      </w:r>
      <w:r>
        <w:rPr>
          <w:rFonts w:hint="eastAsia"/>
          <w:b/>
          <w:bCs/>
          <w:szCs w:val="22"/>
          <w:highlight w:val="none"/>
        </w:rPr>
        <w:t>在201</w:t>
      </w:r>
      <w:r>
        <w:rPr>
          <w:rFonts w:hint="eastAsia"/>
          <w:b/>
          <w:bCs/>
          <w:szCs w:val="22"/>
          <w:highlight w:val="none"/>
          <w:lang w:val="en-US" w:eastAsia="zh-CN"/>
        </w:rPr>
        <w:t>9</w:t>
      </w:r>
      <w:r>
        <w:rPr>
          <w:rFonts w:hint="eastAsia"/>
          <w:b/>
          <w:bCs/>
          <w:szCs w:val="22"/>
          <w:highlight w:val="none"/>
        </w:rPr>
        <w:t>年</w:t>
      </w:r>
      <w:r>
        <w:rPr>
          <w:rFonts w:hint="eastAsia"/>
          <w:b/>
          <w:bCs/>
          <w:szCs w:val="22"/>
          <w:highlight w:val="none"/>
          <w:lang w:val="en-US" w:eastAsia="zh-CN"/>
        </w:rPr>
        <w:t xml:space="preserve">    </w:t>
      </w:r>
      <w:r>
        <w:rPr>
          <w:rFonts w:hint="eastAsia"/>
          <w:b/>
          <w:bCs/>
          <w:szCs w:val="22"/>
          <w:highlight w:val="none"/>
        </w:rPr>
        <w:t>月</w:t>
      </w:r>
      <w:r>
        <w:rPr>
          <w:rFonts w:hint="eastAsia"/>
          <w:b/>
          <w:bCs/>
          <w:szCs w:val="22"/>
          <w:highlight w:val="none"/>
          <w:lang w:val="en-US" w:eastAsia="zh-CN"/>
        </w:rPr>
        <w:t xml:space="preserve">    </w:t>
      </w:r>
      <w:r>
        <w:rPr>
          <w:rFonts w:hint="eastAsia"/>
          <w:b/>
          <w:bCs/>
          <w:szCs w:val="22"/>
          <w:highlight w:val="none"/>
        </w:rPr>
        <w:t>日</w:t>
      </w:r>
      <w:r>
        <w:rPr>
          <w:rFonts w:hint="eastAsia"/>
          <w:b/>
          <w:bCs/>
          <w:szCs w:val="22"/>
          <w:highlight w:val="none"/>
          <w:lang w:val="en-US" w:eastAsia="zh-CN"/>
        </w:rPr>
        <w:t>17</w:t>
      </w:r>
      <w:r>
        <w:rPr>
          <w:rFonts w:hint="eastAsia"/>
          <w:b/>
          <w:bCs/>
          <w:szCs w:val="22"/>
        </w:rPr>
        <w:t>时</w:t>
      </w:r>
      <w:r>
        <w:rPr>
          <w:rFonts w:hint="eastAsia"/>
          <w:b/>
          <w:bCs/>
          <w:szCs w:val="22"/>
          <w:lang w:val="en-US" w:eastAsia="zh-CN"/>
        </w:rPr>
        <w:t>00</w:t>
      </w:r>
      <w:r>
        <w:rPr>
          <w:rFonts w:hint="eastAsia"/>
          <w:b/>
          <w:bCs/>
          <w:szCs w:val="22"/>
        </w:rPr>
        <w:t>分前缴纳投标保证金。</w:t>
      </w:r>
      <w:r>
        <w:rPr>
          <w:rFonts w:hint="eastAsia"/>
          <w:szCs w:val="22"/>
        </w:rPr>
        <w:t xml:space="preserve"> </w:t>
      </w:r>
    </w:p>
    <w:p>
      <w:pPr>
        <w:keepNext w:val="0"/>
        <w:keepLines w:val="0"/>
        <w:pageBreakBefore w:val="0"/>
        <w:widowControl/>
        <w:numPr>
          <w:ilvl w:val="1"/>
          <w:numId w:val="17"/>
        </w:numPr>
        <w:tabs>
          <w:tab w:val="left" w:pos="644"/>
          <w:tab w:val="left" w:pos="851"/>
        </w:tabs>
        <w:kinsoku/>
        <w:wordWrap/>
        <w:overflowPunct/>
        <w:topLinePunct w:val="0"/>
        <w:autoSpaceDE/>
        <w:autoSpaceDN/>
        <w:bidi w:val="0"/>
        <w:adjustRightInd/>
        <w:snapToGrid w:val="0"/>
        <w:spacing w:line="408" w:lineRule="auto"/>
        <w:ind w:left="850" w:right="0" w:rightChars="0" w:hanging="850"/>
        <w:jc w:val="both"/>
        <w:textAlignment w:val="auto"/>
        <w:outlineLvl w:val="9"/>
        <w:rPr>
          <w:rFonts w:hint="eastAsia"/>
          <w:szCs w:val="22"/>
        </w:rPr>
      </w:pPr>
      <w:r>
        <w:rPr>
          <w:rFonts w:hint="eastAsia"/>
          <w:szCs w:val="22"/>
        </w:rPr>
        <w:t xml:space="preserve">  投标保证金必须通过投标人已在中山市公共资源交易中心的企业信息库中登记的基本账户（基本账户的企业名称须与投标人名称一致）转入，投标保证金账号由投标人通过综合交易系统申请并按照缴纳保证金通知书上内容缴纳（如不按要求缴纳，视为无效保证金）</w:t>
      </w:r>
    </w:p>
    <w:p>
      <w:pPr>
        <w:keepNext w:val="0"/>
        <w:keepLines w:val="0"/>
        <w:pageBreakBefore w:val="0"/>
        <w:widowControl w:val="0"/>
        <w:kinsoku/>
        <w:wordWrap/>
        <w:overflowPunct/>
        <w:topLinePunct w:val="0"/>
        <w:autoSpaceDE/>
        <w:autoSpaceDN/>
        <w:bidi w:val="0"/>
        <w:adjustRightInd w:val="0"/>
        <w:snapToGrid w:val="0"/>
        <w:spacing w:line="408" w:lineRule="auto"/>
        <w:ind w:left="630" w:hanging="630" w:hangingChars="300"/>
        <w:jc w:val="both"/>
        <w:textAlignment w:val="auto"/>
        <w:rPr>
          <w:rFonts w:hint="eastAsia" w:ascii="宋体" w:hAnsi="宋体" w:cs="宋体"/>
          <w:kern w:val="2"/>
          <w:szCs w:val="21"/>
        </w:rPr>
      </w:pPr>
      <w:r>
        <w:rPr>
          <w:rFonts w:hint="eastAsia" w:ascii="宋体" w:hAnsi="宋体" w:cs="宋体"/>
          <w:kern w:val="2"/>
          <w:szCs w:val="21"/>
        </w:rPr>
        <w:t xml:space="preserve">  </w:t>
      </w:r>
      <w:r>
        <w:rPr>
          <w:rFonts w:hint="eastAsia" w:ascii="宋体" w:hAnsi="宋体" w:cs="宋体"/>
          <w:kern w:val="2"/>
          <w:szCs w:val="21"/>
          <w:lang w:val="en-US" w:eastAsia="zh-CN"/>
        </w:rPr>
        <w:t xml:space="preserve">     </w:t>
      </w:r>
      <w:r>
        <w:rPr>
          <w:rFonts w:hint="eastAsia" w:ascii="宋体" w:hAnsi="宋体" w:cs="宋体"/>
          <w:kern w:val="2"/>
          <w:szCs w:val="21"/>
        </w:rPr>
        <w:t>具体操作方法请登录“中山市公共资源交易网&gt;&gt;服务指南&gt;&gt;办事指引&gt;&gt;下载综合交易系统（企业）操作指引 。</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rFonts w:hint="eastAsia"/>
          <w:szCs w:val="22"/>
        </w:rPr>
      </w:pPr>
      <w:r>
        <w:rPr>
          <w:rFonts w:hint="eastAsia"/>
          <w:szCs w:val="22"/>
        </w:rPr>
        <w:t>凡未按规定交纳投标保证金的投标，为无效投标。</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rFonts w:hint="eastAsia"/>
          <w:szCs w:val="22"/>
        </w:rPr>
      </w:pPr>
      <w:r>
        <w:rPr>
          <w:rFonts w:hint="eastAsia"/>
          <w:szCs w:val="22"/>
        </w:rPr>
        <w:t>投标保证金的退还</w:t>
      </w:r>
    </w:p>
    <w:p>
      <w:pPr>
        <w:widowControl w:val="0"/>
        <w:adjustRightInd w:val="0"/>
        <w:snapToGrid w:val="0"/>
        <w:spacing w:line="360" w:lineRule="auto"/>
        <w:ind w:left="630" w:leftChars="200" w:hanging="210" w:hangingChars="100"/>
        <w:jc w:val="both"/>
        <w:rPr>
          <w:rFonts w:ascii="宋体" w:cs="宋体"/>
          <w:kern w:val="2"/>
          <w:szCs w:val="21"/>
        </w:rPr>
      </w:pPr>
      <w:r>
        <w:rPr>
          <w:rFonts w:hint="eastAsia" w:ascii="宋体" w:hAnsi="宋体" w:cs="宋体"/>
          <w:kern w:val="2"/>
          <w:szCs w:val="21"/>
          <w:lang w:val="en-US" w:eastAsia="zh-CN"/>
        </w:rPr>
        <w:t>a.</w:t>
      </w:r>
      <w:r>
        <w:rPr>
          <w:rFonts w:hint="eastAsia" w:ascii="宋体" w:hAnsi="宋体" w:cs="宋体"/>
          <w:kern w:val="2"/>
          <w:szCs w:val="21"/>
        </w:rPr>
        <w:t>未中标的投标人保证金，</w:t>
      </w:r>
      <w:r>
        <w:rPr>
          <w:rFonts w:hint="eastAsia" w:ascii="宋体" w:hAnsi="宋体"/>
        </w:rPr>
        <w:t>将在投标有效期满后或在</w:t>
      </w:r>
      <w:r>
        <w:rPr>
          <w:rFonts w:hint="eastAsia" w:ascii="宋体" w:hAnsi="宋体" w:cs="宋体"/>
          <w:kern w:val="2"/>
          <w:szCs w:val="21"/>
        </w:rPr>
        <w:t>中标通知书发出之日起后</w:t>
      </w:r>
      <w:r>
        <w:rPr>
          <w:rFonts w:ascii="宋体" w:hAnsi="宋体" w:cs="宋体"/>
          <w:kern w:val="2"/>
          <w:szCs w:val="21"/>
        </w:rPr>
        <w:t>5</w:t>
      </w:r>
      <w:r>
        <w:rPr>
          <w:rFonts w:hint="eastAsia" w:ascii="宋体" w:hAnsi="宋体" w:cs="宋体"/>
          <w:kern w:val="2"/>
          <w:szCs w:val="21"/>
        </w:rPr>
        <w:t>个工作日内退还；</w:t>
      </w:r>
    </w:p>
    <w:p>
      <w:pPr>
        <w:widowControl w:val="0"/>
        <w:adjustRightInd w:val="0"/>
        <w:snapToGrid w:val="0"/>
        <w:spacing w:line="360" w:lineRule="auto"/>
        <w:ind w:left="630" w:leftChars="200" w:hanging="210" w:hangingChars="100"/>
        <w:jc w:val="both"/>
        <w:rPr>
          <w:rFonts w:ascii="宋体" w:hAnsi="宋体" w:cs="宋体"/>
          <w:kern w:val="2"/>
          <w:szCs w:val="21"/>
        </w:rPr>
      </w:pPr>
      <w:r>
        <w:rPr>
          <w:rFonts w:hint="eastAsia" w:ascii="宋体" w:hAnsi="宋体" w:cs="宋体"/>
          <w:kern w:val="2"/>
          <w:szCs w:val="21"/>
          <w:lang w:val="en-US" w:eastAsia="zh-CN"/>
        </w:rPr>
        <w:t>b.</w:t>
      </w:r>
      <w:r>
        <w:rPr>
          <w:rFonts w:hint="eastAsia" w:ascii="宋体" w:hAnsi="宋体" w:cs="宋体"/>
          <w:kern w:val="2"/>
          <w:szCs w:val="21"/>
        </w:rPr>
        <w:t>自合同签订之日起5个工作日内退还中标人的投标保证金，退还投标保证金须同时满足以下要求：</w:t>
      </w:r>
    </w:p>
    <w:p>
      <w:pPr>
        <w:widowControl w:val="0"/>
        <w:adjustRightInd w:val="0"/>
        <w:snapToGrid w:val="0"/>
        <w:spacing w:line="360" w:lineRule="auto"/>
        <w:ind w:left="630" w:leftChars="200" w:hanging="210" w:hangingChars="100"/>
        <w:jc w:val="both"/>
        <w:rPr>
          <w:rFonts w:ascii="宋体" w:hAnsi="宋体" w:cs="宋体"/>
          <w:kern w:val="2"/>
          <w:szCs w:val="21"/>
          <w:highlight w:val="none"/>
        </w:rPr>
      </w:pPr>
      <w:r>
        <w:rPr>
          <w:rFonts w:hint="eastAsia" w:ascii="宋体" w:hAnsi="宋体" w:cs="宋体"/>
          <w:kern w:val="2"/>
          <w:szCs w:val="21"/>
          <w:highlight w:val="none"/>
          <w:lang w:val="en-US" w:eastAsia="zh-CN"/>
        </w:rPr>
        <w:t xml:space="preserve">1) </w:t>
      </w:r>
      <w:r>
        <w:rPr>
          <w:rFonts w:hint="eastAsia" w:ascii="宋体" w:hAnsi="宋体" w:cs="宋体"/>
          <w:kern w:val="2"/>
          <w:szCs w:val="21"/>
          <w:highlight w:val="none"/>
        </w:rPr>
        <w:t>中标人签订合同后须立即将该合同原件送达招标代理机构</w:t>
      </w:r>
      <w:r>
        <w:rPr>
          <w:rFonts w:hint="eastAsia" w:ascii="宋体" w:hAnsi="宋体" w:cs="宋体"/>
          <w:kern w:val="2"/>
          <w:szCs w:val="21"/>
          <w:highlight w:val="none"/>
          <w:lang w:eastAsia="zh-CN"/>
        </w:rPr>
        <w:t>，并由</w:t>
      </w:r>
      <w:r>
        <w:rPr>
          <w:rFonts w:hint="eastAsia" w:ascii="宋体" w:hAnsi="宋体" w:cs="宋体"/>
          <w:kern w:val="2"/>
          <w:szCs w:val="21"/>
          <w:highlight w:val="none"/>
        </w:rPr>
        <w:t>招标代理机构上传合同。</w:t>
      </w:r>
    </w:p>
    <w:p>
      <w:pPr>
        <w:widowControl w:val="0"/>
        <w:adjustRightInd w:val="0"/>
        <w:snapToGrid w:val="0"/>
        <w:spacing w:line="360" w:lineRule="auto"/>
        <w:ind w:firstLine="420" w:firstLineChars="200"/>
        <w:jc w:val="both"/>
        <w:rPr>
          <w:rFonts w:ascii="宋体" w:hAnsi="宋体" w:cs="宋体"/>
          <w:kern w:val="2"/>
          <w:szCs w:val="21"/>
          <w:highlight w:val="none"/>
        </w:rPr>
      </w:pPr>
      <w:r>
        <w:rPr>
          <w:rFonts w:hint="eastAsia" w:ascii="宋体" w:hAnsi="宋体" w:cs="宋体"/>
          <w:kern w:val="2"/>
          <w:szCs w:val="21"/>
          <w:highlight w:val="none"/>
          <w:lang w:val="en-US" w:eastAsia="zh-CN"/>
        </w:rPr>
        <w:t xml:space="preserve">2) </w:t>
      </w:r>
      <w:r>
        <w:rPr>
          <w:rFonts w:hint="eastAsia" w:ascii="宋体" w:hAnsi="宋体" w:cs="宋体"/>
          <w:kern w:val="2"/>
          <w:szCs w:val="21"/>
          <w:highlight w:val="none"/>
        </w:rPr>
        <w:t>中标人按本须知规定交纳招标代理服务费。</w:t>
      </w:r>
    </w:p>
    <w:p>
      <w:pPr>
        <w:widowControl w:val="0"/>
        <w:adjustRightInd w:val="0"/>
        <w:snapToGrid w:val="0"/>
        <w:spacing w:line="360" w:lineRule="auto"/>
        <w:ind w:firstLine="420" w:firstLineChars="200"/>
        <w:jc w:val="both"/>
        <w:rPr>
          <w:rFonts w:ascii="宋体" w:hAnsi="宋体" w:cs="宋体"/>
          <w:kern w:val="2"/>
          <w:szCs w:val="21"/>
        </w:rPr>
      </w:pPr>
      <w:r>
        <w:rPr>
          <w:rFonts w:hint="eastAsia" w:ascii="宋体" w:hAnsi="宋体" w:cs="宋体"/>
          <w:kern w:val="2"/>
          <w:szCs w:val="21"/>
          <w:lang w:val="en-US" w:eastAsia="zh-CN"/>
        </w:rPr>
        <w:t xml:space="preserve">3) </w:t>
      </w:r>
      <w:r>
        <w:rPr>
          <w:rFonts w:hint="eastAsia" w:ascii="宋体" w:hAnsi="宋体" w:cs="宋体"/>
          <w:kern w:val="2"/>
          <w:szCs w:val="21"/>
        </w:rPr>
        <w:t>若中标人未按要求上传并送达合同的，由此造成的后果由中标人负责。</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rFonts w:hint="eastAsia"/>
          <w:szCs w:val="22"/>
        </w:rPr>
      </w:pPr>
      <w:r>
        <w:rPr>
          <w:rFonts w:hint="eastAsia"/>
          <w:szCs w:val="22"/>
        </w:rPr>
        <w:t>下列任一情况发生时，投标保证金将不予退还：</w:t>
      </w:r>
    </w:p>
    <w:p>
      <w:pPr>
        <w:widowControl w:val="0"/>
        <w:adjustRightInd w:val="0"/>
        <w:snapToGrid w:val="0"/>
        <w:spacing w:line="360" w:lineRule="auto"/>
        <w:ind w:firstLine="424" w:firstLineChars="202"/>
        <w:jc w:val="both"/>
        <w:rPr>
          <w:rFonts w:hint="eastAsia" w:ascii="宋体" w:hAnsi="宋体" w:cs="宋体"/>
          <w:bCs/>
          <w:kern w:val="2"/>
          <w:szCs w:val="21"/>
        </w:rPr>
      </w:pPr>
      <w:r>
        <w:rPr>
          <w:rFonts w:hint="eastAsia" w:ascii="宋体" w:hAnsi="宋体" w:cs="宋体"/>
          <w:bCs/>
          <w:kern w:val="2"/>
          <w:szCs w:val="21"/>
        </w:rPr>
        <w:t>1）中标后无正当理由放弃中标或中标人在规定期限内未能根据本须知规定签订合同的；</w:t>
      </w:r>
    </w:p>
    <w:p>
      <w:pPr>
        <w:widowControl w:val="0"/>
        <w:adjustRightInd w:val="0"/>
        <w:snapToGrid w:val="0"/>
        <w:spacing w:line="360" w:lineRule="auto"/>
        <w:ind w:left="630" w:leftChars="200" w:hanging="210" w:hangingChars="100"/>
        <w:jc w:val="both"/>
        <w:rPr>
          <w:rFonts w:hint="eastAsia" w:ascii="宋体" w:hAnsi="宋体" w:cs="宋体"/>
          <w:bCs/>
          <w:kern w:val="2"/>
          <w:szCs w:val="21"/>
        </w:rPr>
      </w:pPr>
      <w:r>
        <w:rPr>
          <w:rFonts w:hint="eastAsia" w:ascii="宋体" w:hAnsi="宋体" w:cs="宋体"/>
          <w:bCs/>
          <w:kern w:val="2"/>
          <w:szCs w:val="21"/>
        </w:rPr>
        <w:t>2) 将中标项目转让给他人，或者在投标文件中未说明，且未经招标人同意，违反招标文件规定，将中标项目分包给他人的。</w:t>
      </w:r>
    </w:p>
    <w:p>
      <w:pPr>
        <w:widowControl w:val="0"/>
        <w:adjustRightInd w:val="0"/>
        <w:snapToGrid w:val="0"/>
        <w:spacing w:line="360" w:lineRule="auto"/>
        <w:ind w:firstLine="424" w:firstLineChars="202"/>
        <w:jc w:val="both"/>
        <w:rPr>
          <w:rFonts w:hint="eastAsia" w:ascii="宋体" w:hAnsi="宋体" w:cs="宋体"/>
          <w:bCs/>
          <w:kern w:val="2"/>
          <w:szCs w:val="21"/>
        </w:rPr>
      </w:pPr>
      <w:r>
        <w:rPr>
          <w:rFonts w:hint="eastAsia" w:ascii="宋体" w:hAnsi="宋体" w:cs="宋体"/>
          <w:bCs/>
          <w:kern w:val="2"/>
          <w:szCs w:val="21"/>
        </w:rPr>
        <w:t>3) 投标人在投标文件中规定的投标有效期内撤回其投标。</w:t>
      </w:r>
    </w:p>
    <w:p>
      <w:pPr>
        <w:widowControl w:val="0"/>
        <w:adjustRightInd w:val="0"/>
        <w:snapToGrid w:val="0"/>
        <w:spacing w:line="360" w:lineRule="auto"/>
        <w:ind w:firstLine="424" w:firstLineChars="202"/>
        <w:jc w:val="both"/>
        <w:rPr>
          <w:rFonts w:hint="eastAsia" w:ascii="宋体" w:hAnsi="宋体" w:cs="宋体"/>
          <w:bCs/>
          <w:kern w:val="2"/>
          <w:szCs w:val="21"/>
        </w:rPr>
      </w:pPr>
      <w:r>
        <w:rPr>
          <w:rFonts w:hint="eastAsia" w:ascii="宋体" w:hAnsi="宋体" w:cs="宋体"/>
          <w:bCs/>
          <w:kern w:val="2"/>
          <w:szCs w:val="21"/>
        </w:rPr>
        <w:t>4）投标人在投标文件中未提供真实有效的证明材料。</w:t>
      </w:r>
    </w:p>
    <w:p>
      <w:pPr>
        <w:pStyle w:val="2"/>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5）中标人以他人名义投标或者以其他方式弄虚作假，骗取中标的。</w:t>
      </w:r>
    </w:p>
    <w:p>
      <w:pPr>
        <w:numPr>
          <w:ilvl w:val="0"/>
          <w:numId w:val="17"/>
        </w:numPr>
        <w:tabs>
          <w:tab w:val="left" w:pos="851"/>
        </w:tabs>
        <w:snapToGrid w:val="0"/>
        <w:spacing w:line="460" w:lineRule="exact"/>
        <w:jc w:val="both"/>
        <w:rPr>
          <w:b/>
          <w:sz w:val="24"/>
        </w:rPr>
      </w:pPr>
      <w:r>
        <w:rPr>
          <w:b/>
          <w:sz w:val="24"/>
        </w:rPr>
        <w:t>投标有效期</w:t>
      </w:r>
    </w:p>
    <w:p>
      <w:pPr>
        <w:numPr>
          <w:ilvl w:val="1"/>
          <w:numId w:val="17"/>
        </w:numPr>
        <w:tabs>
          <w:tab w:val="left" w:pos="644"/>
          <w:tab w:val="left" w:pos="851"/>
        </w:tabs>
        <w:snapToGrid w:val="0"/>
        <w:spacing w:line="460" w:lineRule="exact"/>
        <w:ind w:left="851" w:hanging="851"/>
        <w:jc w:val="both"/>
      </w:pPr>
      <w:r>
        <w:t>投标文件应在投标截止日后的90天内保持有效。中标人投标有效期则顺延至项目完成验收之日，在此有效期内未经招标人同意，投标文件的一切内容和补充承诺均为持续有效且不予改变。</w:t>
      </w:r>
    </w:p>
    <w:p>
      <w:pPr>
        <w:numPr>
          <w:ilvl w:val="1"/>
          <w:numId w:val="17"/>
        </w:numPr>
        <w:tabs>
          <w:tab w:val="left" w:pos="644"/>
          <w:tab w:val="left" w:pos="851"/>
        </w:tabs>
        <w:snapToGrid w:val="0"/>
        <w:spacing w:line="460" w:lineRule="exact"/>
        <w:ind w:left="851" w:hanging="851"/>
        <w:jc w:val="both"/>
      </w:pPr>
      <w:r>
        <w:t>投标有效期比规定期限短的将被视为非响应标而予以拒绝。</w:t>
      </w:r>
    </w:p>
    <w:p>
      <w:pPr>
        <w:numPr>
          <w:ilvl w:val="0"/>
          <w:numId w:val="17"/>
        </w:numPr>
        <w:tabs>
          <w:tab w:val="left" w:pos="851"/>
        </w:tabs>
        <w:snapToGrid w:val="0"/>
        <w:spacing w:line="460" w:lineRule="exact"/>
        <w:jc w:val="both"/>
        <w:rPr>
          <w:b/>
          <w:sz w:val="24"/>
        </w:rPr>
      </w:pPr>
      <w:r>
        <w:rPr>
          <w:b/>
          <w:sz w:val="24"/>
        </w:rPr>
        <w:t>投标文件的式样和签署</w:t>
      </w:r>
    </w:p>
    <w:p>
      <w:pPr>
        <w:numPr>
          <w:ilvl w:val="1"/>
          <w:numId w:val="17"/>
        </w:numPr>
        <w:tabs>
          <w:tab w:val="left" w:pos="644"/>
          <w:tab w:val="left" w:pos="851"/>
        </w:tabs>
        <w:snapToGrid w:val="0"/>
        <w:spacing w:line="460" w:lineRule="exact"/>
        <w:ind w:left="851" w:hanging="851"/>
        <w:jc w:val="both"/>
      </w:pPr>
      <w:r>
        <w:t>投标人应准备投标文件</w:t>
      </w:r>
      <w:r>
        <w:rPr>
          <w:b/>
          <w:bCs/>
        </w:rPr>
        <w:t>正本一份，副本四份和与标书内容相同的电子标书一份（</w:t>
      </w:r>
      <w:r>
        <w:rPr>
          <w:rFonts w:hint="eastAsia"/>
          <w:b/>
          <w:bCs/>
        </w:rPr>
        <w:t>U</w:t>
      </w:r>
      <w:r>
        <w:rPr>
          <w:b/>
          <w:bCs/>
        </w:rPr>
        <w:t>盘/光盘，封面注明公司名称和招标编号）</w:t>
      </w:r>
      <w:r>
        <w:t>，在每一份投标文件上要明确注明“正本”或“副本”字样；一旦正本和副本内容有差异，以正本为准。</w:t>
      </w:r>
    </w:p>
    <w:p>
      <w:pPr>
        <w:numPr>
          <w:ilvl w:val="1"/>
          <w:numId w:val="17"/>
        </w:numPr>
        <w:tabs>
          <w:tab w:val="left" w:pos="644"/>
          <w:tab w:val="left" w:pos="851"/>
        </w:tabs>
        <w:snapToGrid w:val="0"/>
        <w:spacing w:line="460" w:lineRule="exact"/>
        <w:ind w:left="851" w:hanging="851"/>
        <w:jc w:val="both"/>
      </w:pPr>
      <w:r>
        <w:t>投标文件正本均须用不褪色墨水书写或打印，由法定代表人或经过正式授权并对投标人有约束力的代表在</w:t>
      </w:r>
      <w:r>
        <w:rPr>
          <w:b/>
        </w:rPr>
        <w:t>正本上要求的地方签字，并加盖骑缝章</w:t>
      </w:r>
      <w:r>
        <w:t>。</w:t>
      </w:r>
    </w:p>
    <w:p>
      <w:pPr>
        <w:numPr>
          <w:ilvl w:val="1"/>
          <w:numId w:val="17"/>
        </w:numPr>
        <w:tabs>
          <w:tab w:val="left" w:pos="644"/>
          <w:tab w:val="left" w:pos="851"/>
        </w:tabs>
        <w:snapToGrid w:val="0"/>
        <w:spacing w:line="460" w:lineRule="exact"/>
        <w:ind w:left="851" w:hanging="851"/>
        <w:jc w:val="both"/>
      </w:pPr>
      <w:r>
        <w:t>投标文件副本，所有资料都可以为投标文件的正本复印件。</w:t>
      </w:r>
    </w:p>
    <w:p>
      <w:pPr>
        <w:numPr>
          <w:ilvl w:val="1"/>
          <w:numId w:val="17"/>
        </w:numPr>
        <w:tabs>
          <w:tab w:val="left" w:pos="644"/>
          <w:tab w:val="left" w:pos="851"/>
        </w:tabs>
        <w:snapToGrid w:val="0"/>
        <w:spacing w:line="460" w:lineRule="exact"/>
        <w:ind w:left="851" w:hanging="851"/>
        <w:jc w:val="both"/>
      </w:pPr>
      <w:r>
        <w:t>投标文件的正本及所有副本的封面均须由投标人加盖投标人公章。</w:t>
      </w:r>
    </w:p>
    <w:p>
      <w:pPr>
        <w:numPr>
          <w:ilvl w:val="1"/>
          <w:numId w:val="17"/>
        </w:numPr>
        <w:tabs>
          <w:tab w:val="left" w:pos="644"/>
          <w:tab w:val="left" w:pos="851"/>
        </w:tabs>
        <w:snapToGrid w:val="0"/>
        <w:spacing w:line="460" w:lineRule="exact"/>
        <w:ind w:left="851" w:hanging="851"/>
        <w:jc w:val="both"/>
      </w:pPr>
      <w:r>
        <w:t>投标文件的任何行间插字、涂改和增删，必须由投标文件的签字人用姓氏或首字母在旁边签字才有效。</w:t>
      </w:r>
    </w:p>
    <w:p>
      <w:pPr>
        <w:numPr>
          <w:ilvl w:val="1"/>
          <w:numId w:val="17"/>
        </w:numPr>
        <w:tabs>
          <w:tab w:val="left" w:pos="644"/>
          <w:tab w:val="left" w:pos="851"/>
        </w:tabs>
        <w:snapToGrid w:val="0"/>
        <w:spacing w:line="460" w:lineRule="exact"/>
        <w:ind w:left="851" w:hanging="851"/>
        <w:jc w:val="both"/>
      </w:pPr>
      <w:r>
        <w:t>在招标文件中已明示需盖章及签名之处，投标文件正本均须加盖投标人公章，并经投标人法定代表人或其授权代表签名或盖章。</w:t>
      </w:r>
    </w:p>
    <w:p>
      <w:pPr>
        <w:numPr>
          <w:ilvl w:val="1"/>
          <w:numId w:val="17"/>
        </w:numPr>
        <w:tabs>
          <w:tab w:val="left" w:pos="644"/>
          <w:tab w:val="left" w:pos="851"/>
        </w:tabs>
        <w:snapToGrid w:val="0"/>
        <w:spacing w:line="460" w:lineRule="exact"/>
        <w:ind w:left="851" w:hanging="851"/>
        <w:jc w:val="both"/>
        <w:rPr>
          <w:sz w:val="24"/>
        </w:rPr>
      </w:pPr>
      <w:r>
        <w:t>传真和电传的投标文件将被拒绝。</w:t>
      </w:r>
    </w:p>
    <w:p>
      <w:pPr>
        <w:numPr>
          <w:ilvl w:val="0"/>
          <w:numId w:val="17"/>
        </w:numPr>
        <w:tabs>
          <w:tab w:val="left" w:pos="851"/>
        </w:tabs>
        <w:snapToGrid w:val="0"/>
        <w:spacing w:line="460" w:lineRule="exact"/>
        <w:jc w:val="both"/>
        <w:rPr>
          <w:b/>
          <w:sz w:val="24"/>
        </w:rPr>
      </w:pPr>
      <w:r>
        <w:rPr>
          <w:b/>
          <w:sz w:val="24"/>
        </w:rPr>
        <w:t>投标文件的密封和标记</w:t>
      </w:r>
    </w:p>
    <w:p>
      <w:pPr>
        <w:numPr>
          <w:ilvl w:val="1"/>
          <w:numId w:val="17"/>
        </w:numPr>
        <w:tabs>
          <w:tab w:val="left" w:pos="644"/>
          <w:tab w:val="left" w:pos="851"/>
        </w:tabs>
        <w:snapToGrid w:val="0"/>
        <w:spacing w:line="460" w:lineRule="exact"/>
        <w:ind w:left="851" w:hanging="851"/>
        <w:jc w:val="both"/>
        <w:rPr>
          <w:b/>
          <w:bCs/>
        </w:rPr>
      </w:pPr>
      <w:r>
        <w:rPr>
          <w:b/>
          <w:bCs/>
        </w:rPr>
        <w:t>正本和电子标书一起封装，副本四份一起封装，在每一封口处加盖公章，封套上标明“正本”“副本”字样。</w:t>
      </w:r>
    </w:p>
    <w:p>
      <w:pPr>
        <w:numPr>
          <w:ilvl w:val="1"/>
          <w:numId w:val="17"/>
        </w:numPr>
        <w:tabs>
          <w:tab w:val="left" w:pos="644"/>
          <w:tab w:val="left" w:pos="851"/>
        </w:tabs>
        <w:snapToGrid w:val="0"/>
        <w:spacing w:line="460" w:lineRule="exact"/>
        <w:ind w:left="851" w:hanging="851"/>
        <w:jc w:val="both"/>
      </w:pPr>
      <w:r>
        <w:t>封套均应按以下要求标记：</w:t>
      </w:r>
    </w:p>
    <w:p>
      <w:pPr>
        <w:snapToGrid w:val="0"/>
        <w:spacing w:line="460" w:lineRule="exact"/>
        <w:ind w:firstLine="843" w:firstLineChars="400"/>
        <w:jc w:val="both"/>
        <w:rPr>
          <w:b/>
          <w:bCs/>
        </w:rPr>
      </w:pPr>
      <w:r>
        <w:rPr>
          <w:b/>
          <w:bCs/>
        </w:rPr>
        <w:t>递交：</w:t>
      </w:r>
      <w:r>
        <w:rPr>
          <w:rFonts w:hint="eastAsia"/>
          <w:b/>
          <w:bCs/>
          <w:lang w:eastAsia="zh-CN"/>
        </w:rPr>
        <w:t>华联世纪工程咨询股份有限公司中山分公司</w:t>
      </w:r>
      <w:r>
        <w:rPr>
          <w:b/>
          <w:bCs/>
        </w:rPr>
        <w:t xml:space="preserve">   </w:t>
      </w:r>
    </w:p>
    <w:p>
      <w:pPr>
        <w:snapToGrid w:val="0"/>
        <w:spacing w:line="460" w:lineRule="exact"/>
        <w:ind w:firstLine="843" w:firstLineChars="400"/>
        <w:jc w:val="both"/>
        <w:rPr>
          <w:b/>
          <w:bCs/>
          <w:u w:val="single"/>
        </w:rPr>
      </w:pPr>
      <w:r>
        <w:rPr>
          <w:b/>
          <w:bCs/>
        </w:rPr>
        <w:t>项目名称：</w:t>
      </w:r>
      <w:r>
        <w:rPr>
          <w:b/>
          <w:bCs/>
          <w:u w:val="single"/>
        </w:rPr>
        <w:t xml:space="preserve">        </w:t>
      </w:r>
      <w:r>
        <w:rPr>
          <w:b/>
          <w:bCs/>
        </w:rPr>
        <w:t>招标编号：</w:t>
      </w:r>
      <w:r>
        <w:rPr>
          <w:b/>
          <w:bCs/>
          <w:u w:val="single"/>
        </w:rPr>
        <w:t xml:space="preserve">       </w:t>
      </w:r>
      <w:r>
        <w:rPr>
          <w:b/>
          <w:bCs/>
        </w:rPr>
        <w:t>在</w:t>
      </w:r>
      <w:r>
        <w:rPr>
          <w:b/>
          <w:bCs/>
          <w:u w:val="single"/>
        </w:rPr>
        <w:t xml:space="preserve">（投标截止时间） </w:t>
      </w:r>
      <w:r>
        <w:rPr>
          <w:b/>
          <w:bCs/>
        </w:rPr>
        <w:t>前不得启封”的字样。</w:t>
      </w:r>
    </w:p>
    <w:p>
      <w:pPr>
        <w:numPr>
          <w:ilvl w:val="1"/>
          <w:numId w:val="17"/>
        </w:numPr>
        <w:tabs>
          <w:tab w:val="left" w:pos="644"/>
          <w:tab w:val="left" w:pos="851"/>
        </w:tabs>
        <w:snapToGrid w:val="0"/>
        <w:spacing w:line="460" w:lineRule="exact"/>
        <w:ind w:left="851" w:hanging="851"/>
        <w:jc w:val="both"/>
      </w:pPr>
      <w:r>
        <w:t>封套均应写明投标人名称和地址，以便如果其投标被宣布为“迟到”投标时，能原封退回。</w:t>
      </w:r>
    </w:p>
    <w:p>
      <w:pPr>
        <w:numPr>
          <w:ilvl w:val="1"/>
          <w:numId w:val="17"/>
        </w:numPr>
        <w:tabs>
          <w:tab w:val="left" w:pos="644"/>
          <w:tab w:val="left" w:pos="851"/>
        </w:tabs>
        <w:snapToGrid w:val="0"/>
        <w:spacing w:line="460" w:lineRule="exact"/>
        <w:ind w:left="851" w:hanging="851"/>
        <w:jc w:val="both"/>
      </w:pPr>
      <w:r>
        <w:t>如果封套未按本须知的要求密封和加写标记，招标代理机构有权拒绝受理其投标文件。</w:t>
      </w:r>
    </w:p>
    <w:p>
      <w:pPr>
        <w:numPr>
          <w:ilvl w:val="1"/>
          <w:numId w:val="17"/>
        </w:numPr>
        <w:tabs>
          <w:tab w:val="left" w:pos="644"/>
          <w:tab w:val="left" w:pos="851"/>
        </w:tabs>
        <w:snapToGrid w:val="0"/>
        <w:spacing w:line="460" w:lineRule="exact"/>
        <w:ind w:left="851" w:hanging="851"/>
        <w:jc w:val="both"/>
      </w:pPr>
      <w:r>
        <w:t>为方便开标唱标，投标人提交投标文件时应备有一个“唱标信封”，并将下列内容单独密封入该信封。</w:t>
      </w:r>
    </w:p>
    <w:p>
      <w:pPr>
        <w:tabs>
          <w:tab w:val="left" w:pos="851"/>
        </w:tabs>
        <w:snapToGrid w:val="0"/>
        <w:spacing w:line="460" w:lineRule="exact"/>
        <w:ind w:firstLine="840" w:firstLineChars="400"/>
        <w:jc w:val="both"/>
      </w:pPr>
      <w:r>
        <w:t>1、投标函（从投标文件正本中复印）；</w:t>
      </w:r>
    </w:p>
    <w:p>
      <w:pPr>
        <w:tabs>
          <w:tab w:val="left" w:pos="851"/>
        </w:tabs>
        <w:snapToGrid w:val="0"/>
        <w:spacing w:line="460" w:lineRule="exact"/>
        <w:ind w:firstLine="840" w:firstLineChars="400"/>
        <w:jc w:val="both"/>
      </w:pPr>
      <w:r>
        <w:t>2、开标一览表（从投标文件正本中复印）；</w:t>
      </w:r>
    </w:p>
    <w:p>
      <w:pPr>
        <w:tabs>
          <w:tab w:val="left" w:pos="851"/>
        </w:tabs>
        <w:snapToGrid w:val="0"/>
        <w:spacing w:line="460" w:lineRule="exact"/>
        <w:ind w:firstLine="840" w:firstLineChars="400"/>
        <w:jc w:val="both"/>
        <w:rPr>
          <w:rFonts w:hint="eastAsia" w:eastAsia="宋体"/>
          <w:szCs w:val="22"/>
          <w:lang w:eastAsia="zh-CN"/>
        </w:rPr>
      </w:pPr>
      <w:r>
        <w:t>3、</w:t>
      </w:r>
      <w:r>
        <w:rPr>
          <w:rFonts w:hint="eastAsia"/>
          <w:szCs w:val="22"/>
        </w:rPr>
        <w:t>法定代表人证明书</w:t>
      </w:r>
      <w:r>
        <w:rPr>
          <w:szCs w:val="22"/>
        </w:rPr>
        <w:t>/</w:t>
      </w:r>
      <w:r>
        <w:rPr>
          <w:rFonts w:hint="eastAsia"/>
          <w:szCs w:val="22"/>
        </w:rPr>
        <w:t>法定代表人授权书</w:t>
      </w:r>
      <w:r>
        <w:rPr>
          <w:rFonts w:hint="eastAsia"/>
          <w:szCs w:val="22"/>
          <w:lang w:eastAsia="zh-CN"/>
        </w:rPr>
        <w:t>（</w:t>
      </w:r>
      <w:r>
        <w:t>（从投标文件正本中复印）</w:t>
      </w:r>
      <w:r>
        <w:rPr>
          <w:rFonts w:hint="eastAsia"/>
          <w:szCs w:val="22"/>
          <w:lang w:eastAsia="zh-CN"/>
        </w:rPr>
        <w:t>）</w:t>
      </w:r>
    </w:p>
    <w:p>
      <w:pPr>
        <w:tabs>
          <w:tab w:val="left" w:pos="851"/>
        </w:tabs>
        <w:snapToGrid w:val="0"/>
        <w:spacing w:line="460" w:lineRule="exact"/>
        <w:ind w:firstLine="840" w:firstLineChars="400"/>
        <w:jc w:val="both"/>
      </w:pPr>
      <w:r>
        <w:rPr>
          <w:rFonts w:hint="eastAsia"/>
          <w:lang w:val="en-US" w:eastAsia="zh-CN"/>
        </w:rPr>
        <w:t>4、</w:t>
      </w:r>
      <w:r>
        <w:t>投标保证金交付凭证复印件；</w:t>
      </w:r>
    </w:p>
    <w:p>
      <w:pPr>
        <w:numPr>
          <w:ilvl w:val="1"/>
          <w:numId w:val="17"/>
        </w:numPr>
        <w:tabs>
          <w:tab w:val="left" w:pos="644"/>
          <w:tab w:val="left" w:pos="851"/>
        </w:tabs>
        <w:spacing w:line="460" w:lineRule="exact"/>
        <w:ind w:left="851" w:hanging="851"/>
      </w:pPr>
      <w:r>
        <w:t>本次招标的投标截止时间见第一部分《投标邀请函》的规定；</w:t>
      </w:r>
    </w:p>
    <w:p>
      <w:pPr>
        <w:numPr>
          <w:ilvl w:val="1"/>
          <w:numId w:val="17"/>
        </w:numPr>
        <w:tabs>
          <w:tab w:val="left" w:pos="644"/>
          <w:tab w:val="left" w:pos="851"/>
        </w:tabs>
        <w:spacing w:line="460" w:lineRule="exact"/>
        <w:ind w:left="851" w:hanging="851"/>
        <w:jc w:val="both"/>
      </w:pPr>
      <w:r>
        <w:t>本次招标的投标文件递交时间见第一部分《投标邀请函》的规定，招标代理机构收到投标文件的时间不得迟于规定的截止时间。</w:t>
      </w:r>
    </w:p>
    <w:p>
      <w:pPr>
        <w:numPr>
          <w:ilvl w:val="1"/>
          <w:numId w:val="17"/>
        </w:numPr>
        <w:tabs>
          <w:tab w:val="left" w:pos="644"/>
          <w:tab w:val="left" w:pos="851"/>
        </w:tabs>
        <w:spacing w:line="460" w:lineRule="exact"/>
        <w:ind w:left="851" w:hanging="851"/>
        <w:jc w:val="both"/>
      </w:pPr>
      <w:r>
        <w:t>招标代理机构可视具体情况延长投标截止时间和开标时间。在推迟了投标截止时间的情况下，招标代理机构、招标人和投标人受投标截止时间制约的所有权利和义务均应延长至新的截止时间。</w:t>
      </w:r>
    </w:p>
    <w:p>
      <w:pPr>
        <w:numPr>
          <w:ilvl w:val="1"/>
          <w:numId w:val="17"/>
        </w:numPr>
        <w:tabs>
          <w:tab w:val="left" w:pos="644"/>
          <w:tab w:val="left" w:pos="851"/>
        </w:tabs>
        <w:spacing w:line="460" w:lineRule="exact"/>
        <w:ind w:left="851" w:hanging="851"/>
        <w:jc w:val="both"/>
        <w:rPr>
          <w:sz w:val="24"/>
        </w:rPr>
      </w:pPr>
      <w:r>
        <w:t>招标代理机构将拒绝并原封退回在其规定的投标截止时刻后收到的任何投标文件。</w:t>
      </w:r>
    </w:p>
    <w:p>
      <w:pPr>
        <w:numPr>
          <w:ilvl w:val="0"/>
          <w:numId w:val="17"/>
        </w:numPr>
        <w:tabs>
          <w:tab w:val="left" w:pos="851"/>
        </w:tabs>
        <w:snapToGrid w:val="0"/>
        <w:spacing w:line="460" w:lineRule="exact"/>
        <w:jc w:val="both"/>
        <w:rPr>
          <w:b/>
          <w:sz w:val="24"/>
        </w:rPr>
      </w:pPr>
      <w:r>
        <w:rPr>
          <w:b/>
          <w:sz w:val="24"/>
        </w:rPr>
        <w:t>投标文件的修改与撤回</w:t>
      </w:r>
    </w:p>
    <w:p>
      <w:pPr>
        <w:numPr>
          <w:ilvl w:val="1"/>
          <w:numId w:val="17"/>
        </w:numPr>
        <w:tabs>
          <w:tab w:val="left" w:pos="644"/>
          <w:tab w:val="left" w:pos="851"/>
        </w:tabs>
        <w:spacing w:line="460" w:lineRule="exact"/>
        <w:ind w:left="851" w:hanging="851"/>
        <w:jc w:val="both"/>
      </w:pPr>
      <w:r>
        <w:t xml:space="preserve">  投标人在投标截止时间之前，可以对所递交的投标文件进行补充、修改或者撤回，并书面通知招标代理机构。补充、修改的内容应当按招标文件要求签署、盖公章，并作为投标文件的组成部分。</w:t>
      </w:r>
    </w:p>
    <w:p>
      <w:pPr>
        <w:numPr>
          <w:ilvl w:val="1"/>
          <w:numId w:val="17"/>
        </w:numPr>
        <w:tabs>
          <w:tab w:val="left" w:pos="644"/>
          <w:tab w:val="left" w:pos="851"/>
        </w:tabs>
        <w:spacing w:line="460" w:lineRule="exact"/>
        <w:ind w:left="851" w:hanging="851"/>
        <w:jc w:val="both"/>
      </w:pPr>
      <w:r>
        <w:t xml:space="preserve"> 在投标截止时间之后，投标人不得对其投标文件做任何补充、修改。</w:t>
      </w:r>
    </w:p>
    <w:p>
      <w:pPr>
        <w:numPr>
          <w:ilvl w:val="1"/>
          <w:numId w:val="17"/>
        </w:numPr>
        <w:tabs>
          <w:tab w:val="left" w:pos="644"/>
          <w:tab w:val="left" w:pos="851"/>
        </w:tabs>
        <w:spacing w:line="460" w:lineRule="exact"/>
        <w:ind w:left="851" w:hanging="851"/>
        <w:jc w:val="both"/>
        <w:rPr>
          <w:b/>
          <w:sz w:val="24"/>
        </w:rPr>
      </w:pPr>
      <w:r>
        <w:t xml:space="preserve"> 从投标截止时间至投标人在投标文件中确定的投标有效期期满这段时间内，投标人不得撤回其投标，否则其投标保证金将按照本须知的规定被没收。</w:t>
      </w:r>
    </w:p>
    <w:p>
      <w:pPr>
        <w:numPr>
          <w:ilvl w:val="0"/>
          <w:numId w:val="17"/>
        </w:numPr>
        <w:tabs>
          <w:tab w:val="left" w:pos="851"/>
        </w:tabs>
        <w:spacing w:line="460" w:lineRule="exact"/>
        <w:rPr>
          <w:b/>
          <w:sz w:val="24"/>
        </w:rPr>
      </w:pPr>
      <w:r>
        <w:rPr>
          <w:b/>
          <w:sz w:val="24"/>
        </w:rPr>
        <w:t>投标人资格审查方式</w:t>
      </w:r>
    </w:p>
    <w:p>
      <w:pPr>
        <w:numPr>
          <w:ilvl w:val="1"/>
          <w:numId w:val="17"/>
        </w:numPr>
        <w:tabs>
          <w:tab w:val="left" w:pos="644"/>
          <w:tab w:val="left" w:pos="851"/>
        </w:tabs>
        <w:spacing w:line="460" w:lineRule="exact"/>
        <w:ind w:left="851" w:hanging="851"/>
        <w:jc w:val="both"/>
        <w:rPr>
          <w:b/>
          <w:sz w:val="24"/>
        </w:rPr>
      </w:pPr>
      <w:r>
        <w:t>投标人资格审查方式：资格后审。评标委员会保留复核在评审过程中或者审查成交候选单位是否有能力令人满意地履行合同的权利，如果符合或审查通过，评标委员会将把合同授予该投标人；如果复核或审查没有通过，评标委员会将拒绝其报价，并对下一个候选的投标人能否令人满意地履行合同作类似的复核、审查或重新招标</w:t>
      </w:r>
      <w:r>
        <w:rPr>
          <w:szCs w:val="21"/>
        </w:rPr>
        <w:t>。</w:t>
      </w:r>
    </w:p>
    <w:p>
      <w:pPr>
        <w:numPr>
          <w:ilvl w:val="0"/>
          <w:numId w:val="17"/>
        </w:numPr>
        <w:tabs>
          <w:tab w:val="left" w:pos="851"/>
        </w:tabs>
        <w:spacing w:line="460" w:lineRule="exact"/>
        <w:rPr>
          <w:b/>
          <w:sz w:val="24"/>
        </w:rPr>
      </w:pPr>
      <w:r>
        <w:rPr>
          <w:b/>
          <w:sz w:val="24"/>
        </w:rPr>
        <w:t>开标</w:t>
      </w:r>
    </w:p>
    <w:p>
      <w:pPr>
        <w:numPr>
          <w:ilvl w:val="1"/>
          <w:numId w:val="17"/>
        </w:numPr>
        <w:tabs>
          <w:tab w:val="left" w:pos="644"/>
          <w:tab w:val="left" w:pos="851"/>
        </w:tabs>
        <w:spacing w:line="460" w:lineRule="exact"/>
        <w:ind w:left="851" w:hanging="851"/>
        <w:jc w:val="both"/>
      </w:pPr>
      <w:r>
        <w:t>招标代理机构按《投标邀请函》规定的时间和地点公开开标。</w:t>
      </w:r>
    </w:p>
    <w:p>
      <w:pPr>
        <w:numPr>
          <w:ilvl w:val="1"/>
          <w:numId w:val="17"/>
        </w:numPr>
        <w:tabs>
          <w:tab w:val="left" w:pos="644"/>
          <w:tab w:val="left" w:pos="851"/>
        </w:tabs>
        <w:spacing w:line="460" w:lineRule="exact"/>
        <w:ind w:left="851" w:hanging="851"/>
        <w:jc w:val="both"/>
      </w:pPr>
      <w:r>
        <w:t>招标代理机构组织和主持开标会，投标人法定代表人或其授权代表务必准时参加开标会并签名报到以证明其出席。</w:t>
      </w:r>
    </w:p>
    <w:p>
      <w:pPr>
        <w:numPr>
          <w:ilvl w:val="1"/>
          <w:numId w:val="17"/>
        </w:numPr>
        <w:tabs>
          <w:tab w:val="left" w:pos="644"/>
          <w:tab w:val="left" w:pos="851"/>
        </w:tabs>
        <w:spacing w:line="460" w:lineRule="exact"/>
        <w:ind w:left="851" w:hanging="851"/>
        <w:jc w:val="both"/>
      </w:pPr>
      <w:r>
        <w:t>开标前先检查投标文件的密封情况，确认无误后拆封投标文件报价内容并按招标文件规定的内容进行唱标。</w:t>
      </w:r>
    </w:p>
    <w:p>
      <w:pPr>
        <w:numPr>
          <w:ilvl w:val="1"/>
          <w:numId w:val="17"/>
        </w:numPr>
        <w:tabs>
          <w:tab w:val="left" w:pos="644"/>
          <w:tab w:val="left" w:pos="851"/>
        </w:tabs>
        <w:spacing w:line="460" w:lineRule="exact"/>
        <w:ind w:left="851" w:hanging="851"/>
        <w:jc w:val="both"/>
      </w:pPr>
      <w:r>
        <w:t>开标时，招标代理机构将当众宣读投标人名称、修改和撤回投标的通知（如有）、投标价格以及招标代理机构认为其他必要的内容。除了按照规定原封退回迟到的投标之外，开标时将不得拒绝在投标截止时间前收到的投标文件。</w:t>
      </w:r>
    </w:p>
    <w:p>
      <w:pPr>
        <w:numPr>
          <w:ilvl w:val="1"/>
          <w:numId w:val="17"/>
        </w:numPr>
        <w:tabs>
          <w:tab w:val="left" w:pos="644"/>
          <w:tab w:val="left" w:pos="851"/>
        </w:tabs>
        <w:spacing w:line="460" w:lineRule="exact"/>
        <w:ind w:left="851" w:hanging="851"/>
        <w:jc w:val="both"/>
      </w:pPr>
      <w:r>
        <w:t>招标</w:t>
      </w:r>
      <w:r>
        <w:rPr>
          <w:rFonts w:hint="eastAsia"/>
        </w:rPr>
        <w:t>代</w:t>
      </w:r>
      <w:r>
        <w:t>理机构将记录开标过程的有关内容，并由投标人签字确认，存档备查。</w:t>
      </w:r>
    </w:p>
    <w:p>
      <w:pPr>
        <w:numPr>
          <w:ilvl w:val="0"/>
          <w:numId w:val="17"/>
        </w:numPr>
        <w:tabs>
          <w:tab w:val="left" w:pos="851"/>
        </w:tabs>
        <w:spacing w:line="460" w:lineRule="exact"/>
        <w:rPr>
          <w:b/>
          <w:sz w:val="24"/>
        </w:rPr>
      </w:pPr>
      <w:r>
        <w:rPr>
          <w:b/>
          <w:sz w:val="24"/>
        </w:rPr>
        <w:t>评标委员会</w:t>
      </w:r>
    </w:p>
    <w:p>
      <w:pPr>
        <w:numPr>
          <w:ilvl w:val="1"/>
          <w:numId w:val="17"/>
        </w:numPr>
        <w:tabs>
          <w:tab w:val="left" w:pos="644"/>
          <w:tab w:val="left" w:pos="851"/>
        </w:tabs>
        <w:spacing w:line="460" w:lineRule="exact"/>
        <w:ind w:left="851" w:hanging="851"/>
      </w:pPr>
      <w:r>
        <w:t>本次招标依法组建评标委员会。</w:t>
      </w:r>
    </w:p>
    <w:p>
      <w:pPr>
        <w:numPr>
          <w:ilvl w:val="1"/>
          <w:numId w:val="17"/>
        </w:numPr>
        <w:tabs>
          <w:tab w:val="left" w:pos="644"/>
          <w:tab w:val="left" w:pos="851"/>
        </w:tabs>
        <w:spacing w:line="460" w:lineRule="exact"/>
        <w:ind w:left="851" w:hanging="851"/>
      </w:pPr>
      <w:r>
        <w:t>评标委员会依据相关法规和招标文件的规定对投标文件进行评审，并提交评标报告。</w:t>
      </w:r>
    </w:p>
    <w:p>
      <w:pPr>
        <w:numPr>
          <w:ilvl w:val="0"/>
          <w:numId w:val="17"/>
        </w:numPr>
        <w:tabs>
          <w:tab w:val="left" w:pos="851"/>
        </w:tabs>
        <w:spacing w:line="460" w:lineRule="exact"/>
        <w:rPr>
          <w:b/>
          <w:sz w:val="24"/>
        </w:rPr>
      </w:pPr>
      <w:r>
        <w:rPr>
          <w:b/>
          <w:sz w:val="24"/>
        </w:rPr>
        <w:t>评标原则和步骤及评标方法</w:t>
      </w:r>
    </w:p>
    <w:p>
      <w:pPr>
        <w:numPr>
          <w:ilvl w:val="1"/>
          <w:numId w:val="17"/>
        </w:numPr>
        <w:tabs>
          <w:tab w:val="left" w:pos="0"/>
          <w:tab w:val="left" w:pos="644"/>
          <w:tab w:val="left" w:pos="851"/>
        </w:tabs>
        <w:spacing w:line="460" w:lineRule="exact"/>
        <w:ind w:left="851" w:hanging="851"/>
        <w:jc w:val="both"/>
      </w:pPr>
      <w:r>
        <w:t>评标基本原则：评标工作应依据《中华人民共和国</w:t>
      </w:r>
      <w:r>
        <w:rPr>
          <w:rFonts w:hint="eastAsia"/>
          <w:lang w:eastAsia="zh-CN"/>
        </w:rPr>
        <w:t>政府采购</w:t>
      </w:r>
      <w:r>
        <w:t>法》以及国家和地方政府法规，遵循“公开、公平、公正、择优、信用”的原则进行。</w:t>
      </w:r>
    </w:p>
    <w:p>
      <w:pPr>
        <w:numPr>
          <w:ilvl w:val="1"/>
          <w:numId w:val="17"/>
        </w:numPr>
        <w:tabs>
          <w:tab w:val="left" w:pos="0"/>
          <w:tab w:val="left" w:pos="644"/>
          <w:tab w:val="left" w:pos="851"/>
        </w:tabs>
        <w:spacing w:line="460" w:lineRule="exact"/>
        <w:ind w:left="851" w:hanging="851"/>
      </w:pPr>
      <w:r>
        <w:t>评标步骤及定标规定：第一阶段：先进行投标人符合性审查。第二阶段：对通过符合性审查的投标人按照评标办法进行详细评审。</w:t>
      </w:r>
    </w:p>
    <w:p>
      <w:pPr>
        <w:numPr>
          <w:ilvl w:val="1"/>
          <w:numId w:val="17"/>
        </w:numPr>
        <w:tabs>
          <w:tab w:val="left" w:pos="644"/>
          <w:tab w:val="left" w:pos="851"/>
        </w:tabs>
        <w:spacing w:line="460" w:lineRule="exact"/>
        <w:ind w:left="851" w:hanging="851"/>
      </w:pPr>
      <w:r>
        <w:rPr>
          <w:b/>
        </w:rPr>
        <w:t>评标办法：本次招标的评标方式为综合评分法，符合性审查阶段采取评委一人一票，意见不一致时少数服从多数的的评标方式，详细评审采用百分制综合评分法，分数按四舍五入原则计至小数点后两位</w:t>
      </w:r>
      <w:r>
        <w:rPr>
          <w:b/>
          <w:bCs/>
        </w:rPr>
        <w:t>。</w:t>
      </w:r>
    </w:p>
    <w:p>
      <w:pPr>
        <w:numPr>
          <w:ilvl w:val="0"/>
          <w:numId w:val="17"/>
        </w:numPr>
        <w:tabs>
          <w:tab w:val="left" w:pos="851"/>
        </w:tabs>
        <w:spacing w:line="460" w:lineRule="exact"/>
        <w:jc w:val="both"/>
        <w:rPr>
          <w:b/>
          <w:sz w:val="24"/>
        </w:rPr>
      </w:pPr>
      <w:r>
        <w:rPr>
          <w:b/>
          <w:sz w:val="24"/>
        </w:rPr>
        <w:t>第一阶段：初步评审</w:t>
      </w:r>
    </w:p>
    <w:p>
      <w:pPr>
        <w:numPr>
          <w:ilvl w:val="1"/>
          <w:numId w:val="17"/>
        </w:numPr>
        <w:tabs>
          <w:tab w:val="left" w:pos="0"/>
          <w:tab w:val="left" w:pos="644"/>
          <w:tab w:val="left" w:pos="851"/>
        </w:tabs>
        <w:spacing w:line="460" w:lineRule="exact"/>
        <w:ind w:left="851" w:hanging="851"/>
        <w:jc w:val="both"/>
      </w:pPr>
      <w:r>
        <w:t>评标委员会根据招标文件对投标文件进行初步审查，检查投标文件提交的内容是否齐全、签署是否合格、是否满足招标文件的要求、是否能证明有能力承担本项目的任务、是否按招标文件的要求作出了相应的承诺。</w:t>
      </w:r>
    </w:p>
    <w:p>
      <w:pPr>
        <w:numPr>
          <w:ilvl w:val="1"/>
          <w:numId w:val="17"/>
        </w:numPr>
        <w:tabs>
          <w:tab w:val="left" w:pos="0"/>
          <w:tab w:val="left" w:pos="644"/>
          <w:tab w:val="left" w:pos="851"/>
        </w:tabs>
        <w:spacing w:line="460" w:lineRule="exact"/>
        <w:ind w:left="851" w:hanging="851"/>
        <w:jc w:val="both"/>
      </w:pPr>
      <w:r>
        <w:t>无效投标的认定</w:t>
      </w:r>
    </w:p>
    <w:p>
      <w:pPr>
        <w:tabs>
          <w:tab w:val="left" w:pos="1030"/>
        </w:tabs>
        <w:spacing w:line="460" w:lineRule="exact"/>
        <w:ind w:left="848"/>
      </w:pPr>
      <w:r>
        <w:t>投标文件出现但不限于下列情况被认定为无效投标：</w:t>
      </w:r>
    </w:p>
    <w:p>
      <w:pPr>
        <w:numPr>
          <w:ilvl w:val="0"/>
          <w:numId w:val="21"/>
        </w:numPr>
        <w:tabs>
          <w:tab w:val="left" w:pos="1272"/>
          <w:tab w:val="clear" w:pos="1141"/>
        </w:tabs>
        <w:spacing w:line="460" w:lineRule="exact"/>
        <w:ind w:left="1272" w:hanging="424"/>
      </w:pPr>
      <w:r>
        <w:t>投标人未提交投标保证金或金额不足的；</w:t>
      </w:r>
    </w:p>
    <w:p>
      <w:pPr>
        <w:numPr>
          <w:ilvl w:val="0"/>
          <w:numId w:val="21"/>
        </w:numPr>
        <w:tabs>
          <w:tab w:val="left" w:pos="1272"/>
          <w:tab w:val="clear" w:pos="1141"/>
        </w:tabs>
        <w:spacing w:line="460" w:lineRule="exact"/>
        <w:ind w:left="1272" w:hanging="424"/>
      </w:pPr>
      <w:r>
        <w:t>投标有效期不足的；</w:t>
      </w:r>
    </w:p>
    <w:p>
      <w:pPr>
        <w:numPr>
          <w:ilvl w:val="0"/>
          <w:numId w:val="21"/>
        </w:numPr>
        <w:tabs>
          <w:tab w:val="left" w:pos="1272"/>
          <w:tab w:val="clear" w:pos="1141"/>
        </w:tabs>
        <w:spacing w:line="460" w:lineRule="exact"/>
        <w:ind w:left="1272" w:hanging="424"/>
      </w:pPr>
      <w:r>
        <w:t>投标人不符合合格投标人的基本条件；</w:t>
      </w:r>
    </w:p>
    <w:p>
      <w:pPr>
        <w:numPr>
          <w:ilvl w:val="0"/>
          <w:numId w:val="21"/>
        </w:numPr>
        <w:tabs>
          <w:tab w:val="left" w:pos="1272"/>
          <w:tab w:val="clear" w:pos="1141"/>
        </w:tabs>
        <w:spacing w:line="460" w:lineRule="exact"/>
        <w:ind w:left="1272" w:hanging="424"/>
      </w:pPr>
      <w:r>
        <w:t>投标文件主要资料不齐全或签署不及格的；</w:t>
      </w:r>
    </w:p>
    <w:p>
      <w:pPr>
        <w:numPr>
          <w:ilvl w:val="0"/>
          <w:numId w:val="21"/>
        </w:numPr>
        <w:tabs>
          <w:tab w:val="left" w:pos="1272"/>
          <w:tab w:val="clear" w:pos="1141"/>
        </w:tabs>
        <w:spacing w:line="460" w:lineRule="exact"/>
        <w:ind w:left="1272" w:hanging="424"/>
      </w:pPr>
      <w:r>
        <w:t>投标资料虚报或者谎报的；</w:t>
      </w:r>
    </w:p>
    <w:p>
      <w:pPr>
        <w:numPr>
          <w:ilvl w:val="0"/>
          <w:numId w:val="21"/>
        </w:numPr>
        <w:tabs>
          <w:tab w:val="left" w:pos="1272"/>
          <w:tab w:val="clear" w:pos="1141"/>
        </w:tabs>
        <w:spacing w:line="460" w:lineRule="exact"/>
        <w:ind w:left="1272" w:hanging="424"/>
      </w:pPr>
      <w:r>
        <w:t>投标价不是固定价或投标方案不是唯一的；</w:t>
      </w:r>
    </w:p>
    <w:p>
      <w:pPr>
        <w:numPr>
          <w:ilvl w:val="0"/>
          <w:numId w:val="21"/>
        </w:numPr>
        <w:tabs>
          <w:tab w:val="left" w:pos="1272"/>
          <w:tab w:val="clear" w:pos="1141"/>
        </w:tabs>
        <w:spacing w:line="460" w:lineRule="exact"/>
        <w:ind w:left="1272" w:hanging="424"/>
      </w:pPr>
      <w:r>
        <w:t>单价与总价不相符，又不接受评标委员会修正的投标总价或投标报价明显低于其他投标报价而投标人不能合理说明的；</w:t>
      </w:r>
    </w:p>
    <w:p>
      <w:pPr>
        <w:numPr>
          <w:ilvl w:val="0"/>
          <w:numId w:val="21"/>
        </w:numPr>
        <w:tabs>
          <w:tab w:val="left" w:pos="1030"/>
          <w:tab w:val="left" w:pos="1272"/>
          <w:tab w:val="clear" w:pos="1141"/>
        </w:tabs>
        <w:spacing w:line="460" w:lineRule="exact"/>
        <w:ind w:left="1272" w:hanging="424"/>
      </w:pPr>
      <w:r>
        <w:t>投标报价超出项目预算；</w:t>
      </w:r>
    </w:p>
    <w:p>
      <w:pPr>
        <w:numPr>
          <w:ilvl w:val="0"/>
          <w:numId w:val="21"/>
        </w:numPr>
        <w:tabs>
          <w:tab w:val="left" w:pos="1030"/>
          <w:tab w:val="left" w:pos="1272"/>
          <w:tab w:val="clear" w:pos="1141"/>
        </w:tabs>
        <w:spacing w:line="460" w:lineRule="exact"/>
        <w:ind w:left="1272" w:hanging="424"/>
      </w:pPr>
      <w:r>
        <w:t>投标报价有漏项或重大不合理；</w:t>
      </w:r>
    </w:p>
    <w:p>
      <w:pPr>
        <w:numPr>
          <w:ilvl w:val="0"/>
          <w:numId w:val="21"/>
        </w:numPr>
        <w:tabs>
          <w:tab w:val="left" w:pos="1030"/>
          <w:tab w:val="left" w:pos="1272"/>
          <w:tab w:val="clear" w:pos="1141"/>
        </w:tabs>
        <w:spacing w:line="460" w:lineRule="exact"/>
        <w:ind w:left="1272" w:hanging="424"/>
      </w:pPr>
      <w:r>
        <w:t>主要技术规格和参数不满足用户需求书的要求以及商务有重大偏离或保留的；</w:t>
      </w:r>
    </w:p>
    <w:p>
      <w:pPr>
        <w:numPr>
          <w:ilvl w:val="0"/>
          <w:numId w:val="21"/>
        </w:numPr>
        <w:tabs>
          <w:tab w:val="left" w:pos="1030"/>
          <w:tab w:val="left" w:pos="1272"/>
          <w:tab w:val="clear" w:pos="1141"/>
        </w:tabs>
        <w:spacing w:line="460" w:lineRule="exact"/>
        <w:ind w:left="1272" w:hanging="424"/>
      </w:pPr>
      <w:r>
        <w:t>评标委员会认为其它构成投标未实质性响应招标文件要求的；</w:t>
      </w:r>
    </w:p>
    <w:p>
      <w:pPr>
        <w:numPr>
          <w:ilvl w:val="0"/>
          <w:numId w:val="21"/>
        </w:numPr>
        <w:tabs>
          <w:tab w:val="left" w:pos="1030"/>
          <w:tab w:val="left" w:pos="1272"/>
          <w:tab w:val="clear" w:pos="1141"/>
        </w:tabs>
        <w:spacing w:line="460" w:lineRule="exact"/>
        <w:ind w:left="1272" w:hanging="424"/>
      </w:pPr>
      <w:r>
        <w:t>不符合法律、法规规定的其他实质性要求的。</w:t>
      </w:r>
    </w:p>
    <w:p>
      <w:pPr>
        <w:numPr>
          <w:ilvl w:val="1"/>
          <w:numId w:val="17"/>
        </w:numPr>
        <w:tabs>
          <w:tab w:val="left" w:pos="0"/>
          <w:tab w:val="left" w:pos="644"/>
          <w:tab w:val="left" w:pos="848"/>
        </w:tabs>
        <w:spacing w:line="460" w:lineRule="exact"/>
        <w:ind w:left="848" w:hanging="848"/>
        <w:jc w:val="both"/>
      </w:pPr>
      <w:r>
        <w:t>评标委员会根据资格审查需要，可以书面方式要求投标人对提供的符合性评审资料进行澄清和说明，或对符合性评审资料复印资料提供原件查验核对，投标人应当按照评标委员会的要求以书面方式做出澄清、说明或提供相关资料原件核查。投标人不予澄清说明或没有提供原件核查的，其初步审查不予通过，投标文件作无效投标处理。</w:t>
      </w:r>
    </w:p>
    <w:p>
      <w:pPr>
        <w:numPr>
          <w:ilvl w:val="1"/>
          <w:numId w:val="17"/>
        </w:numPr>
        <w:tabs>
          <w:tab w:val="left" w:pos="0"/>
          <w:tab w:val="left" w:pos="644"/>
          <w:tab w:val="left" w:pos="851"/>
        </w:tabs>
        <w:spacing w:line="460" w:lineRule="exact"/>
        <w:ind w:left="851" w:hanging="851"/>
        <w:jc w:val="both"/>
      </w:pPr>
      <w:r>
        <w:t xml:space="preserve">    初步评审标准：详见附表</w:t>
      </w:r>
      <w:r>
        <w:rPr>
          <w:rFonts w:hint="eastAsia"/>
          <w:lang w:val="en-US" w:eastAsia="zh-CN"/>
        </w:rPr>
        <w:t>3</w:t>
      </w:r>
      <w:r>
        <w:t>-1。</w:t>
      </w:r>
    </w:p>
    <w:p>
      <w:pPr>
        <w:numPr>
          <w:ilvl w:val="0"/>
          <w:numId w:val="17"/>
        </w:numPr>
        <w:tabs>
          <w:tab w:val="left" w:pos="851"/>
        </w:tabs>
        <w:spacing w:line="460" w:lineRule="exact"/>
        <w:rPr>
          <w:b/>
          <w:sz w:val="24"/>
        </w:rPr>
      </w:pPr>
      <w:r>
        <w:rPr>
          <w:b/>
          <w:sz w:val="24"/>
        </w:rPr>
        <w:t>第二阶段：详细评审</w:t>
      </w:r>
    </w:p>
    <w:p>
      <w:pPr>
        <w:numPr>
          <w:ilvl w:val="1"/>
          <w:numId w:val="17"/>
        </w:numPr>
        <w:tabs>
          <w:tab w:val="left" w:pos="0"/>
          <w:tab w:val="left" w:pos="644"/>
          <w:tab w:val="left" w:pos="851"/>
        </w:tabs>
        <w:spacing w:line="460" w:lineRule="exact"/>
        <w:ind w:left="851" w:hanging="851"/>
        <w:jc w:val="both"/>
      </w:pPr>
      <w:r>
        <w:t>评标委员会对通过初步评审的投标文件进行详细评审，评标委员会对每一投标文件进行详细技术、商务、价格评审。按照评标程序的规定和依据评分标准以及各项权重，各位评委就每个投标人的技术状况、商务状况及其对招标文件要求的响应情况进行评议和比较，评出其</w:t>
      </w:r>
      <w:r>
        <w:rPr>
          <w:rFonts w:hint="eastAsia"/>
        </w:rPr>
        <w:t>商务</w:t>
      </w:r>
      <w:r>
        <w:t>技术评分（精确到小数点后2位）。</w:t>
      </w:r>
      <w:r>
        <w:rPr>
          <w:color w:val="000000"/>
          <w:szCs w:val="21"/>
        </w:rPr>
        <w:t>各评委的商务技术评分的算术平均值即为该投标人的商务技术评分</w:t>
      </w:r>
      <w:r>
        <w:t>（精确到小数点后2位）</w:t>
      </w:r>
      <w:r>
        <w:rPr>
          <w:color w:val="000000"/>
          <w:szCs w:val="21"/>
        </w:rPr>
        <w:t>。</w:t>
      </w:r>
      <w:r>
        <w:t>然后，评出价格评分，将商务技术评分和价格评分分别乘以权重相加得出综合得分（精确到小数点后2位），并按综合得分从高到低依次排名（第一名、第二名 … ，出现并列得分时，价格低者优先；得分相同，价格相同的，技术得分高者优先）。最后，评标委员会将依据综合得分的次序推荐中标候选人。</w:t>
      </w:r>
    </w:p>
    <w:p>
      <w:pPr>
        <w:numPr>
          <w:ilvl w:val="1"/>
          <w:numId w:val="17"/>
        </w:numPr>
        <w:tabs>
          <w:tab w:val="left" w:pos="0"/>
          <w:tab w:val="left" w:pos="644"/>
          <w:tab w:val="left" w:pos="770"/>
          <w:tab w:val="left" w:pos="851"/>
        </w:tabs>
        <w:spacing w:line="460" w:lineRule="exact"/>
        <w:ind w:left="851" w:hanging="851"/>
        <w:jc w:val="both"/>
      </w:pPr>
      <w:r>
        <w:t>评分标准：</w:t>
      </w:r>
    </w:p>
    <w:p>
      <w:pPr>
        <w:spacing w:line="460" w:lineRule="exact"/>
        <w:ind w:left="735"/>
      </w:pPr>
      <w:r>
        <w:t>a）商务</w:t>
      </w:r>
      <w:r>
        <w:rPr>
          <w:rFonts w:hint="eastAsia"/>
        </w:rPr>
        <w:t>技术</w:t>
      </w:r>
      <w:r>
        <w:t>评分标准：详见表3-2。</w:t>
      </w:r>
    </w:p>
    <w:p>
      <w:pPr>
        <w:spacing w:line="460" w:lineRule="exact"/>
        <w:ind w:left="735"/>
      </w:pPr>
      <w:r>
        <w:t>b）价格的核准和评分。</w:t>
      </w:r>
    </w:p>
    <w:p>
      <w:pPr>
        <w:numPr>
          <w:ilvl w:val="0"/>
          <w:numId w:val="22"/>
        </w:numPr>
        <w:spacing w:line="460" w:lineRule="exact"/>
      </w:pPr>
      <w:r>
        <w:rPr>
          <w:szCs w:val="21"/>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pPr>
        <w:numPr>
          <w:ilvl w:val="0"/>
          <w:numId w:val="22"/>
        </w:numPr>
        <w:spacing w:line="460" w:lineRule="exact"/>
      </w:pPr>
      <w:r>
        <w:t>评标委员会详细分析、核准价格表，看其是否有计算上或累加上的算术错误，修正错误的原则如下：</w:t>
      </w:r>
    </w:p>
    <w:p>
      <w:pPr>
        <w:spacing w:line="460" w:lineRule="exact"/>
        <w:ind w:left="1590" w:hanging="750"/>
      </w:pPr>
      <w:r>
        <w:t xml:space="preserve">    </w:t>
      </w:r>
      <w:r>
        <w:rPr>
          <w:rFonts w:ascii="宋体"/>
        </w:rPr>
        <w:t>①</w:t>
      </w:r>
      <w:r>
        <w:t xml:space="preserve"> 若投标文件中的大写金额和小写金额不一致时，以大写金额为准；总价金额与按单价计算汇总金额不一致的，以单价计算汇总金额为准；单价金额小数点有明显错位的，应以总价为准，并修改单价；</w:t>
      </w:r>
    </w:p>
    <w:p>
      <w:pPr>
        <w:spacing w:line="460" w:lineRule="exact"/>
        <w:ind w:left="1590" w:hanging="750"/>
      </w:pPr>
      <w:r>
        <w:t xml:space="preserve">    </w:t>
      </w:r>
      <w:r>
        <w:rPr>
          <w:rFonts w:ascii="宋体"/>
        </w:rPr>
        <w:t>②</w:t>
      </w:r>
      <w:r>
        <w:t xml:space="preserve"> 对投标货物的关键、主要内容，投标供应商报价漏项的，作非实质性响应投标处理；</w:t>
      </w:r>
    </w:p>
    <w:p>
      <w:pPr>
        <w:spacing w:line="460" w:lineRule="exact"/>
        <w:ind w:left="1590" w:hanging="750"/>
      </w:pPr>
      <w:r>
        <w:t xml:space="preserve">    </w:t>
      </w:r>
      <w:r>
        <w:rPr>
          <w:rFonts w:ascii="宋体"/>
        </w:rPr>
        <w:t>③</w:t>
      </w:r>
      <w:r>
        <w:t xml:space="preserve"> 对非关键、非主要内容的费用，如果投标供应商是另行单独报价的，评标时也相应另行计入其评标价。</w:t>
      </w:r>
    </w:p>
    <w:p>
      <w:pPr>
        <w:spacing w:line="460" w:lineRule="exact"/>
        <w:ind w:left="1590" w:hanging="750"/>
      </w:pPr>
      <w:r>
        <w:t xml:space="preserve">    ④对数量的评审，以第二部分《用户需求书》所明示数量为准；《用户需求书》未明示的，由评标委员会以其专业知识判断，必要时参考投标供应商的澄清文件决定。</w:t>
      </w:r>
    </w:p>
    <w:p>
      <w:pPr>
        <w:spacing w:line="460" w:lineRule="exact"/>
        <w:ind w:left="1589" w:leftChars="600" w:hanging="329" w:hangingChars="157"/>
      </w:pPr>
      <w:r>
        <w:t>⑤本条款中多种处理原则所产生的结果不一致的，以最高的修正价作为核实价。</w:t>
      </w:r>
    </w:p>
    <w:p>
      <w:pPr>
        <w:numPr>
          <w:ilvl w:val="0"/>
          <w:numId w:val="22"/>
        </w:numPr>
        <w:spacing w:line="460" w:lineRule="exact"/>
      </w:pPr>
      <w:r>
        <w:t>评标委员会将按上述修正错误的方法调整投标文件中的投标报价，调整后的价格对投标人具有约束力。如果投标人不接受修正后的价格，则其投标将被拒绝。</w:t>
      </w:r>
    </w:p>
    <w:p>
      <w:pPr>
        <w:numPr>
          <w:ilvl w:val="0"/>
          <w:numId w:val="22"/>
        </w:numPr>
        <w:spacing w:line="460" w:lineRule="exact"/>
      </w:pPr>
      <w:r>
        <w:t>评标价的确定：按上述条款的原则校核修正后的价格为评标价。</w:t>
      </w:r>
    </w:p>
    <w:p>
      <w:pPr>
        <w:numPr>
          <w:ilvl w:val="0"/>
          <w:numId w:val="22"/>
        </w:numPr>
        <w:spacing w:line="460" w:lineRule="exact"/>
      </w:pPr>
      <w:r>
        <w:t>价格评分：</w:t>
      </w:r>
      <w:r>
        <w:rPr>
          <w:szCs w:val="30"/>
        </w:rPr>
        <w:t>满足招标文件要求且评标价格最低的为评标基准价，其价格分为满分100。其他投标人的价格分统一按照下列公式计算：</w:t>
      </w:r>
    </w:p>
    <w:p>
      <w:pPr>
        <w:spacing w:line="460" w:lineRule="exact"/>
        <w:ind w:left="840"/>
        <w:jc w:val="center"/>
        <w:rPr>
          <w:b/>
          <w:szCs w:val="30"/>
        </w:rPr>
      </w:pPr>
      <w:r>
        <w:rPr>
          <w:b/>
          <w:szCs w:val="30"/>
        </w:rPr>
        <w:t>投标报价得分（精确到小数点后2位）=(评标基准价／评标价)×价格权</w:t>
      </w:r>
      <w:r>
        <w:rPr>
          <w:b/>
        </w:rPr>
        <w:t>重</w:t>
      </w:r>
      <w:r>
        <w:rPr>
          <w:b/>
          <w:szCs w:val="30"/>
        </w:rPr>
        <w:t>×100</w:t>
      </w:r>
    </w:p>
    <w:p>
      <w:pPr>
        <w:numPr>
          <w:ilvl w:val="1"/>
          <w:numId w:val="17"/>
        </w:numPr>
        <w:tabs>
          <w:tab w:val="left" w:pos="0"/>
          <w:tab w:val="left" w:pos="644"/>
          <w:tab w:val="left" w:pos="851"/>
        </w:tabs>
        <w:spacing w:line="460" w:lineRule="exact"/>
        <w:ind w:left="851" w:hanging="851"/>
        <w:jc w:val="both"/>
        <w:rPr>
          <w:b/>
        </w:rPr>
      </w:pPr>
      <w:r>
        <w:rPr>
          <w:b/>
        </w:rPr>
        <w:t>权重分配</w:t>
      </w:r>
    </w:p>
    <w:tbl>
      <w:tblPr>
        <w:tblStyle w:val="55"/>
        <w:tblpPr w:leftFromText="180" w:rightFromText="180" w:vertAnchor="text" w:horzAnchor="margin" w:tblpXSpec="center" w:tblpY="59"/>
        <w:tblW w:w="847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2510"/>
        <w:gridCol w:w="2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3240" w:type="dxa"/>
            <w:vAlign w:val="center"/>
          </w:tcPr>
          <w:p>
            <w:pPr>
              <w:spacing w:line="360" w:lineRule="auto"/>
              <w:jc w:val="center"/>
              <w:rPr>
                <w:szCs w:val="21"/>
              </w:rPr>
            </w:pPr>
            <w:r>
              <w:rPr>
                <w:rFonts w:hint="eastAsia"/>
                <w:szCs w:val="21"/>
              </w:rPr>
              <w:t>评分项目</w:t>
            </w:r>
          </w:p>
        </w:tc>
        <w:tc>
          <w:tcPr>
            <w:tcW w:w="2510" w:type="dxa"/>
            <w:tcBorders>
              <w:right w:val="single" w:color="auto" w:sz="4" w:space="0"/>
            </w:tcBorders>
            <w:vAlign w:val="center"/>
          </w:tcPr>
          <w:p>
            <w:pPr>
              <w:spacing w:line="360" w:lineRule="auto"/>
              <w:jc w:val="center"/>
              <w:rPr>
                <w:szCs w:val="21"/>
              </w:rPr>
            </w:pPr>
            <w:r>
              <w:rPr>
                <w:rFonts w:hint="eastAsia"/>
                <w:szCs w:val="21"/>
              </w:rPr>
              <w:t>商务技术评分</w:t>
            </w:r>
          </w:p>
        </w:tc>
        <w:tc>
          <w:tcPr>
            <w:tcW w:w="2722" w:type="dxa"/>
            <w:vAlign w:val="center"/>
          </w:tcPr>
          <w:p>
            <w:pPr>
              <w:spacing w:line="360" w:lineRule="auto"/>
              <w:jc w:val="center"/>
              <w:rPr>
                <w:szCs w:val="21"/>
              </w:rPr>
            </w:pPr>
            <w:r>
              <w:rPr>
                <w:rFonts w:hint="eastAsia"/>
                <w:szCs w:val="21"/>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3240" w:type="dxa"/>
            <w:vAlign w:val="center"/>
          </w:tcPr>
          <w:p>
            <w:pPr>
              <w:spacing w:line="360" w:lineRule="auto"/>
              <w:jc w:val="center"/>
              <w:rPr>
                <w:szCs w:val="21"/>
              </w:rPr>
            </w:pPr>
            <w:r>
              <w:rPr>
                <w:rFonts w:hint="eastAsia"/>
                <w:szCs w:val="21"/>
              </w:rPr>
              <w:t>权重</w:t>
            </w:r>
          </w:p>
        </w:tc>
        <w:tc>
          <w:tcPr>
            <w:tcW w:w="2510" w:type="dxa"/>
            <w:tcBorders>
              <w:right w:val="single" w:color="auto" w:sz="4" w:space="0"/>
            </w:tcBorders>
            <w:vAlign w:val="center"/>
          </w:tcPr>
          <w:p>
            <w:pPr>
              <w:spacing w:line="360" w:lineRule="auto"/>
              <w:jc w:val="center"/>
              <w:rPr>
                <w:szCs w:val="21"/>
              </w:rPr>
            </w:pPr>
            <w:r>
              <w:rPr>
                <w:rFonts w:hint="eastAsia"/>
                <w:szCs w:val="21"/>
              </w:rPr>
              <w:t>80%</w:t>
            </w:r>
          </w:p>
        </w:tc>
        <w:tc>
          <w:tcPr>
            <w:tcW w:w="2722" w:type="dxa"/>
            <w:vAlign w:val="center"/>
          </w:tcPr>
          <w:p>
            <w:pPr>
              <w:spacing w:line="360" w:lineRule="auto"/>
              <w:jc w:val="center"/>
              <w:rPr>
                <w:szCs w:val="21"/>
              </w:rPr>
            </w:pPr>
            <w:r>
              <w:rPr>
                <w:rFonts w:hint="eastAsia"/>
                <w:szCs w:val="21"/>
              </w:rPr>
              <w:t>20%</w:t>
            </w:r>
          </w:p>
        </w:tc>
      </w:tr>
    </w:tbl>
    <w:p>
      <w:pPr>
        <w:numPr>
          <w:ilvl w:val="0"/>
          <w:numId w:val="17"/>
        </w:numPr>
        <w:tabs>
          <w:tab w:val="left" w:pos="851"/>
        </w:tabs>
        <w:spacing w:line="460" w:lineRule="exact"/>
        <w:rPr>
          <w:b/>
          <w:sz w:val="24"/>
        </w:rPr>
      </w:pPr>
      <w:r>
        <w:rPr>
          <w:b/>
          <w:sz w:val="24"/>
        </w:rPr>
        <w:t>投标文件的修正和澄清</w:t>
      </w:r>
    </w:p>
    <w:p>
      <w:pPr>
        <w:numPr>
          <w:ilvl w:val="1"/>
          <w:numId w:val="17"/>
        </w:numPr>
        <w:tabs>
          <w:tab w:val="left" w:pos="644"/>
          <w:tab w:val="left" w:pos="848"/>
        </w:tabs>
        <w:spacing w:line="460" w:lineRule="exact"/>
        <w:ind w:left="848" w:hanging="848"/>
        <w:jc w:val="both"/>
      </w:pPr>
      <w:r>
        <w:t>为有助于对投标文件的审核、评价和比较，评标委员会可分别要求投标人对其投标文件进行澄清，有关澄清的要求和答复先以口头形式进行，最终要以书面形式确认，但不得寻求、提供或允许对投标价格或实质性内容做任何更改。</w:t>
      </w:r>
    </w:p>
    <w:p>
      <w:pPr>
        <w:numPr>
          <w:ilvl w:val="1"/>
          <w:numId w:val="17"/>
        </w:numPr>
        <w:tabs>
          <w:tab w:val="left" w:pos="644"/>
          <w:tab w:val="left" w:pos="848"/>
        </w:tabs>
        <w:spacing w:line="460" w:lineRule="exact"/>
        <w:ind w:left="848" w:hanging="848"/>
        <w:jc w:val="both"/>
      </w:pPr>
      <w:r>
        <w:t>评标委员会和招标人在评标过程中认为有必要将对投标人进行实地核查，并在必要时核对投标文件的原件。</w:t>
      </w:r>
    </w:p>
    <w:p>
      <w:pPr>
        <w:numPr>
          <w:ilvl w:val="0"/>
          <w:numId w:val="17"/>
        </w:numPr>
        <w:tabs>
          <w:tab w:val="left" w:pos="851"/>
        </w:tabs>
        <w:spacing w:line="460" w:lineRule="exact"/>
        <w:jc w:val="both"/>
        <w:rPr>
          <w:b/>
          <w:sz w:val="24"/>
        </w:rPr>
      </w:pPr>
      <w:r>
        <w:rPr>
          <w:b/>
          <w:sz w:val="24"/>
        </w:rPr>
        <w:t>中标人的确定</w:t>
      </w:r>
    </w:p>
    <w:p>
      <w:pPr>
        <w:spacing w:line="460" w:lineRule="exact"/>
        <w:jc w:val="both"/>
        <w:rPr>
          <w:b/>
          <w:sz w:val="24"/>
        </w:rPr>
      </w:pPr>
      <w:r>
        <w:t>（1）   评标委员会按照招标文件确定的评标方法、步骤、标准，对投标文件进行评审，提出书面评标报告。</w:t>
      </w:r>
    </w:p>
    <w:p>
      <w:pPr>
        <w:spacing w:line="460" w:lineRule="exact"/>
        <w:jc w:val="both"/>
      </w:pPr>
      <w:r>
        <w:t>（2）    采用综合评分法的，按评审后综合得分由高到低顺序排列。</w:t>
      </w:r>
    </w:p>
    <w:p>
      <w:pPr>
        <w:spacing w:line="460" w:lineRule="exact"/>
        <w:jc w:val="both"/>
      </w:pPr>
      <w:r>
        <w:t>（3）   招标人在收到评标报告后的5个工作日内，按照评标报告中推荐的中标候选人顺序确定中标人，也可以事先授权评标委员会直接确定中标人。</w:t>
      </w:r>
    </w:p>
    <w:p>
      <w:pPr>
        <w:numPr>
          <w:ilvl w:val="0"/>
          <w:numId w:val="17"/>
        </w:numPr>
        <w:tabs>
          <w:tab w:val="left" w:pos="851"/>
        </w:tabs>
        <w:spacing w:line="460" w:lineRule="exact"/>
        <w:jc w:val="both"/>
        <w:rPr>
          <w:b/>
          <w:sz w:val="24"/>
        </w:rPr>
      </w:pPr>
      <w:r>
        <w:rPr>
          <w:b/>
          <w:sz w:val="24"/>
        </w:rPr>
        <w:t>招标结果公告</w:t>
      </w:r>
    </w:p>
    <w:p>
      <w:pPr>
        <w:numPr>
          <w:ilvl w:val="1"/>
          <w:numId w:val="17"/>
        </w:numPr>
        <w:tabs>
          <w:tab w:val="left" w:pos="644"/>
          <w:tab w:val="left" w:pos="851"/>
        </w:tabs>
        <w:spacing w:line="460" w:lineRule="exact"/>
        <w:ind w:left="851" w:hanging="851"/>
        <w:jc w:val="both"/>
      </w:pPr>
      <w:r>
        <w:t>招标代理机构将在</w:t>
      </w:r>
      <w:r>
        <w:rPr>
          <w:rFonts w:hint="eastAsia" w:ascii="宋体" w:hAnsi="宋体"/>
          <w:szCs w:val="21"/>
          <w:highlight w:val="none"/>
        </w:rPr>
        <w:t>①中山市公共资源交易中心网、②</w:t>
      </w:r>
      <w:r>
        <w:rPr>
          <w:rFonts w:hint="eastAsia" w:ascii="宋体" w:hAnsi="宋体"/>
          <w:szCs w:val="21"/>
          <w:highlight w:val="none"/>
          <w:lang w:eastAsia="zh-CN"/>
        </w:rPr>
        <w:t>中国采购与招标网、</w:t>
      </w:r>
      <w:r>
        <w:rPr>
          <w:rFonts w:hint="eastAsia" w:ascii="宋体" w:hAnsi="宋体" w:eastAsia="宋体" w:cs="宋体"/>
          <w:szCs w:val="21"/>
          <w:highlight w:val="none"/>
          <w:lang w:eastAsia="zh-CN"/>
        </w:rPr>
        <w:t>③</w:t>
      </w:r>
      <w:r>
        <w:rPr>
          <w:rFonts w:hint="eastAsia" w:ascii="宋体" w:hAnsi="宋体"/>
          <w:szCs w:val="21"/>
          <w:highlight w:val="none"/>
          <w:lang w:eastAsia="zh-CN"/>
        </w:rPr>
        <w:t>中国政府采购网、</w:t>
      </w:r>
      <w:r>
        <w:rPr>
          <w:rFonts w:hint="eastAsia" w:ascii="宋体" w:hAnsi="宋体" w:eastAsia="宋体" w:cs="宋体"/>
          <w:szCs w:val="21"/>
          <w:highlight w:val="none"/>
          <w:lang w:eastAsia="zh-CN"/>
        </w:rPr>
        <w:t>④</w:t>
      </w:r>
      <w:r>
        <w:rPr>
          <w:rFonts w:hint="eastAsia" w:ascii="宋体" w:hAnsi="宋体" w:cs="宋体"/>
          <w:szCs w:val="21"/>
          <w:highlight w:val="none"/>
          <w:lang w:eastAsia="zh-CN"/>
        </w:rPr>
        <w:t>招标代理机构网</w:t>
      </w:r>
      <w:r>
        <w:t>上公示招标结果。</w:t>
      </w:r>
    </w:p>
    <w:p>
      <w:pPr>
        <w:numPr>
          <w:ilvl w:val="0"/>
          <w:numId w:val="17"/>
        </w:numPr>
        <w:tabs>
          <w:tab w:val="left" w:pos="851"/>
        </w:tabs>
        <w:spacing w:line="460" w:lineRule="exact"/>
        <w:jc w:val="both"/>
        <w:rPr>
          <w:b/>
          <w:sz w:val="24"/>
        </w:rPr>
      </w:pPr>
      <w:r>
        <w:rPr>
          <w:b/>
          <w:sz w:val="24"/>
        </w:rPr>
        <w:t>质疑</w:t>
      </w:r>
    </w:p>
    <w:p>
      <w:pPr>
        <w:numPr>
          <w:ilvl w:val="1"/>
          <w:numId w:val="17"/>
        </w:numPr>
        <w:tabs>
          <w:tab w:val="left" w:pos="644"/>
          <w:tab w:val="left" w:pos="851"/>
        </w:tabs>
        <w:spacing w:line="460" w:lineRule="exact"/>
        <w:ind w:left="851" w:hanging="851"/>
        <w:jc w:val="both"/>
      </w:pPr>
      <w:r>
        <w:t>投标人认为招标过程或评标结果使自己的合法权益受到损害的，可以在知道或者应知其权益受到损害之日起7个工作日内，以书面形式向招标人或招标代理机构提出质疑，但需对质疑或投诉内容的真实性承担责任。招标人或招标代理机构应在收到投标人书面质疑后7个工作日内，对质疑内容作出答复。</w:t>
      </w:r>
    </w:p>
    <w:p>
      <w:pPr>
        <w:numPr>
          <w:ilvl w:val="1"/>
          <w:numId w:val="17"/>
        </w:numPr>
        <w:tabs>
          <w:tab w:val="left" w:pos="644"/>
          <w:tab w:val="left" w:pos="851"/>
        </w:tabs>
        <w:spacing w:line="460" w:lineRule="exact"/>
        <w:ind w:left="851" w:hanging="851"/>
        <w:jc w:val="both"/>
      </w:pPr>
      <w:r>
        <w:t>投标人提出质疑时应当提交《质疑书》并署名（加盖公章）。《质疑书》应当包括下列主要内容：</w:t>
      </w:r>
    </w:p>
    <w:p>
      <w:pPr>
        <w:numPr>
          <w:ilvl w:val="2"/>
          <w:numId w:val="23"/>
        </w:numPr>
        <w:tabs>
          <w:tab w:val="left" w:pos="1272"/>
          <w:tab w:val="clear" w:pos="2250"/>
        </w:tabs>
        <w:spacing w:line="460" w:lineRule="exact"/>
        <w:ind w:left="1272" w:hanging="424"/>
        <w:jc w:val="both"/>
      </w:pPr>
      <w:r>
        <w:t>质疑人的名称、地址、电话等；</w:t>
      </w:r>
    </w:p>
    <w:p>
      <w:pPr>
        <w:numPr>
          <w:ilvl w:val="2"/>
          <w:numId w:val="23"/>
        </w:numPr>
        <w:tabs>
          <w:tab w:val="left" w:pos="1272"/>
        </w:tabs>
        <w:spacing w:line="460" w:lineRule="exact"/>
        <w:ind w:left="1272" w:hanging="424"/>
        <w:jc w:val="both"/>
      </w:pPr>
      <w:r>
        <w:t>所质疑的招标项目，具体的质疑事项及事实依据（包括证据资料）；</w:t>
      </w:r>
    </w:p>
    <w:p>
      <w:pPr>
        <w:numPr>
          <w:ilvl w:val="2"/>
          <w:numId w:val="23"/>
        </w:numPr>
        <w:tabs>
          <w:tab w:val="left" w:pos="1272"/>
        </w:tabs>
        <w:spacing w:line="460" w:lineRule="exact"/>
        <w:ind w:left="1272" w:hanging="424"/>
        <w:jc w:val="both"/>
      </w:pPr>
      <w:r>
        <w:t>提起质疑的日期；</w:t>
      </w:r>
    </w:p>
    <w:p>
      <w:pPr>
        <w:numPr>
          <w:ilvl w:val="1"/>
          <w:numId w:val="17"/>
        </w:numPr>
        <w:tabs>
          <w:tab w:val="left" w:pos="644"/>
          <w:tab w:val="left" w:pos="851"/>
        </w:tabs>
        <w:spacing w:line="460" w:lineRule="exact"/>
        <w:ind w:left="851" w:hanging="851"/>
        <w:jc w:val="both"/>
      </w:pPr>
      <w:r>
        <w:t>质疑人进行质疑应当符合下列条件：</w:t>
      </w:r>
    </w:p>
    <w:p>
      <w:pPr>
        <w:numPr>
          <w:ilvl w:val="0"/>
          <w:numId w:val="24"/>
        </w:numPr>
        <w:tabs>
          <w:tab w:val="left" w:pos="1272"/>
          <w:tab w:val="clear" w:pos="1920"/>
        </w:tabs>
        <w:spacing w:line="460" w:lineRule="exact"/>
        <w:ind w:left="1272" w:hanging="424"/>
        <w:jc w:val="both"/>
      </w:pPr>
      <w:r>
        <w:t>质疑人是参与所质疑招标项目的供应商；</w:t>
      </w:r>
    </w:p>
    <w:p>
      <w:pPr>
        <w:numPr>
          <w:ilvl w:val="0"/>
          <w:numId w:val="24"/>
        </w:numPr>
        <w:tabs>
          <w:tab w:val="left" w:pos="1272"/>
          <w:tab w:val="clear" w:pos="1920"/>
        </w:tabs>
        <w:spacing w:line="460" w:lineRule="exact"/>
        <w:ind w:left="1272" w:hanging="424"/>
        <w:jc w:val="both"/>
      </w:pPr>
      <w:r>
        <w:t>在质疑有效期内提起质疑；</w:t>
      </w:r>
    </w:p>
    <w:p>
      <w:pPr>
        <w:numPr>
          <w:ilvl w:val="0"/>
          <w:numId w:val="24"/>
        </w:numPr>
        <w:tabs>
          <w:tab w:val="left" w:pos="1272"/>
          <w:tab w:val="clear" w:pos="1920"/>
        </w:tabs>
        <w:spacing w:line="460" w:lineRule="exact"/>
        <w:ind w:left="1272" w:hanging="424"/>
        <w:jc w:val="both"/>
      </w:pPr>
      <w:r>
        <w:t>法律法规规定的其他条件。</w:t>
      </w:r>
    </w:p>
    <w:p>
      <w:pPr>
        <w:spacing w:line="460" w:lineRule="exact"/>
        <w:ind w:firstLine="900"/>
        <w:rPr>
          <w:rFonts w:hint="eastAsia" w:eastAsia="宋体"/>
          <w:lang w:eastAsia="zh-CN"/>
        </w:rPr>
      </w:pPr>
      <w:r>
        <w:t>招标代理机构：</w:t>
      </w:r>
      <w:r>
        <w:rPr>
          <w:rFonts w:hint="eastAsia"/>
          <w:lang w:eastAsia="zh-CN"/>
        </w:rPr>
        <w:t>华联世纪工程咨询股份有限公司中山分公司</w:t>
      </w:r>
    </w:p>
    <w:p>
      <w:pPr>
        <w:spacing w:line="460" w:lineRule="exact"/>
        <w:ind w:left="697" w:leftChars="332" w:firstLine="210" w:firstLineChars="100"/>
        <w:jc w:val="both"/>
      </w:pPr>
      <w:r>
        <w:t xml:space="preserve">地    址: </w:t>
      </w:r>
      <w:r>
        <w:rPr>
          <w:rFonts w:hint="eastAsia"/>
        </w:rPr>
        <w:t>中山市五桂山镇领东上筑花园商铺1卡</w:t>
      </w:r>
    </w:p>
    <w:p>
      <w:pPr>
        <w:numPr>
          <w:ilvl w:val="0"/>
          <w:numId w:val="17"/>
        </w:numPr>
        <w:tabs>
          <w:tab w:val="left" w:pos="851"/>
        </w:tabs>
        <w:spacing w:line="460" w:lineRule="exact"/>
        <w:jc w:val="both"/>
      </w:pPr>
      <w:r>
        <w:rPr>
          <w:b/>
          <w:sz w:val="24"/>
        </w:rPr>
        <w:t>投诉</w:t>
      </w:r>
    </w:p>
    <w:p>
      <w:pPr>
        <w:numPr>
          <w:ilvl w:val="1"/>
          <w:numId w:val="17"/>
        </w:numPr>
        <w:tabs>
          <w:tab w:val="left" w:pos="644"/>
          <w:tab w:val="left" w:pos="851"/>
        </w:tabs>
        <w:spacing w:line="460" w:lineRule="exact"/>
        <w:ind w:left="851" w:hanging="851"/>
        <w:jc w:val="both"/>
      </w:pPr>
      <w:r>
        <w:t>对招标人或招标代理机构的答复不满意或他们未在规定时间内给予答复的，提出质疑的投标人可以在答复期满后15个工作日内向监督管理机构投诉。</w:t>
      </w:r>
    </w:p>
    <w:p>
      <w:pPr>
        <w:numPr>
          <w:ilvl w:val="1"/>
          <w:numId w:val="17"/>
        </w:numPr>
        <w:tabs>
          <w:tab w:val="left" w:pos="644"/>
          <w:tab w:val="left" w:pos="851"/>
        </w:tabs>
        <w:spacing w:line="460" w:lineRule="exact"/>
        <w:ind w:left="851" w:hanging="851"/>
        <w:jc w:val="both"/>
      </w:pPr>
      <w:r>
        <w:t>下列情形投诉将不予受理：</w:t>
      </w:r>
    </w:p>
    <w:p>
      <w:pPr>
        <w:numPr>
          <w:ilvl w:val="0"/>
          <w:numId w:val="25"/>
        </w:numPr>
        <w:tabs>
          <w:tab w:val="left" w:pos="1272"/>
          <w:tab w:val="clear" w:pos="1920"/>
        </w:tabs>
        <w:spacing w:line="460" w:lineRule="exact"/>
        <w:ind w:left="1272" w:hanging="424"/>
        <w:jc w:val="both"/>
      </w:pPr>
      <w:r>
        <w:t>投诉人不是参加所投诉项目招投标活动的当事人；</w:t>
      </w:r>
    </w:p>
    <w:p>
      <w:pPr>
        <w:numPr>
          <w:ilvl w:val="0"/>
          <w:numId w:val="25"/>
        </w:numPr>
        <w:tabs>
          <w:tab w:val="left" w:pos="1272"/>
          <w:tab w:val="clear" w:pos="1920"/>
        </w:tabs>
        <w:spacing w:line="460" w:lineRule="exact"/>
        <w:ind w:left="1272" w:hanging="424"/>
        <w:jc w:val="both"/>
      </w:pPr>
      <w:r>
        <w:t>被投诉人为招标人或招标代理机构之外的当事人；</w:t>
      </w:r>
    </w:p>
    <w:p>
      <w:pPr>
        <w:numPr>
          <w:ilvl w:val="0"/>
          <w:numId w:val="25"/>
        </w:numPr>
        <w:tabs>
          <w:tab w:val="left" w:pos="1272"/>
          <w:tab w:val="clear" w:pos="1920"/>
        </w:tabs>
        <w:spacing w:line="460" w:lineRule="exact"/>
        <w:ind w:left="1272" w:hanging="424"/>
        <w:jc w:val="both"/>
      </w:pPr>
      <w:r>
        <w:t>所投诉事项未经过质疑的；</w:t>
      </w:r>
    </w:p>
    <w:p>
      <w:pPr>
        <w:numPr>
          <w:ilvl w:val="0"/>
          <w:numId w:val="25"/>
        </w:numPr>
        <w:tabs>
          <w:tab w:val="left" w:pos="1272"/>
          <w:tab w:val="clear" w:pos="1920"/>
        </w:tabs>
        <w:spacing w:line="460" w:lineRule="exact"/>
        <w:ind w:left="1272" w:hanging="424"/>
        <w:jc w:val="both"/>
      </w:pPr>
      <w:r>
        <w:t>所有投诉事项超过投诉有效期；</w:t>
      </w:r>
    </w:p>
    <w:p>
      <w:pPr>
        <w:numPr>
          <w:ilvl w:val="0"/>
          <w:numId w:val="25"/>
        </w:numPr>
        <w:tabs>
          <w:tab w:val="left" w:pos="1272"/>
          <w:tab w:val="clear" w:pos="1920"/>
        </w:tabs>
        <w:spacing w:line="460" w:lineRule="exact"/>
        <w:ind w:left="1272" w:hanging="424"/>
        <w:jc w:val="both"/>
      </w:pPr>
      <w:r>
        <w:t>以具有法律效力的文书送达之外方式提出的投诉；</w:t>
      </w:r>
    </w:p>
    <w:p>
      <w:pPr>
        <w:numPr>
          <w:ilvl w:val="0"/>
          <w:numId w:val="25"/>
        </w:numPr>
        <w:tabs>
          <w:tab w:val="left" w:pos="1272"/>
          <w:tab w:val="clear" w:pos="1920"/>
        </w:tabs>
        <w:spacing w:line="460" w:lineRule="exact"/>
        <w:ind w:left="1272" w:hanging="424"/>
        <w:jc w:val="both"/>
      </w:pPr>
      <w:r>
        <w:t>同一投诉事项已经财政部门投诉处理的；</w:t>
      </w:r>
    </w:p>
    <w:p>
      <w:pPr>
        <w:numPr>
          <w:ilvl w:val="0"/>
          <w:numId w:val="25"/>
        </w:numPr>
        <w:tabs>
          <w:tab w:val="left" w:pos="1272"/>
          <w:tab w:val="clear" w:pos="1920"/>
        </w:tabs>
        <w:spacing w:line="460" w:lineRule="exact"/>
        <w:ind w:left="1272" w:hanging="424"/>
        <w:jc w:val="both"/>
      </w:pPr>
      <w:r>
        <w:t>投诉书内容不符合规定，监督管理机构及时告知投诉人限期补充或修改后重新投诉，投诉人逾期不按要求补充或修改投诉书的。</w:t>
      </w:r>
    </w:p>
    <w:p>
      <w:pPr>
        <w:numPr>
          <w:ilvl w:val="1"/>
          <w:numId w:val="17"/>
        </w:numPr>
        <w:tabs>
          <w:tab w:val="left" w:pos="644"/>
          <w:tab w:val="left" w:pos="851"/>
        </w:tabs>
        <w:spacing w:line="460" w:lineRule="exact"/>
        <w:ind w:left="851" w:hanging="851"/>
        <w:jc w:val="both"/>
      </w:pPr>
      <w:r>
        <w:t>投诉人有下列情形之一的，属于虚假、恶意投诉，驳回投诉，将其列入不良行为记录名单，并依法予以处罚：</w:t>
      </w:r>
    </w:p>
    <w:p>
      <w:pPr>
        <w:numPr>
          <w:ilvl w:val="0"/>
          <w:numId w:val="26"/>
        </w:numPr>
        <w:tabs>
          <w:tab w:val="left" w:pos="1272"/>
          <w:tab w:val="clear" w:pos="1920"/>
        </w:tabs>
        <w:spacing w:line="460" w:lineRule="exact"/>
        <w:ind w:left="1272" w:hanging="424"/>
        <w:jc w:val="both"/>
      </w:pPr>
      <w:r>
        <w:t>一年内三次以上投诉均查无实据的；</w:t>
      </w:r>
    </w:p>
    <w:p>
      <w:pPr>
        <w:numPr>
          <w:ilvl w:val="0"/>
          <w:numId w:val="26"/>
        </w:numPr>
        <w:tabs>
          <w:tab w:val="left" w:pos="1272"/>
          <w:tab w:val="clear" w:pos="1920"/>
        </w:tabs>
        <w:spacing w:line="460" w:lineRule="exact"/>
        <w:ind w:left="1272" w:hanging="424"/>
        <w:jc w:val="both"/>
        <w:rPr>
          <w:b/>
          <w:sz w:val="24"/>
        </w:rPr>
      </w:pPr>
      <w:r>
        <w:t>捏造事实或者提供虚假投诉材料的。</w:t>
      </w:r>
    </w:p>
    <w:p>
      <w:pPr>
        <w:numPr>
          <w:ilvl w:val="0"/>
          <w:numId w:val="17"/>
        </w:numPr>
        <w:tabs>
          <w:tab w:val="left" w:pos="851"/>
        </w:tabs>
        <w:snapToGrid w:val="0"/>
        <w:spacing w:line="460" w:lineRule="exact"/>
        <w:jc w:val="both"/>
        <w:rPr>
          <w:b/>
          <w:sz w:val="24"/>
        </w:rPr>
      </w:pPr>
      <w:r>
        <w:rPr>
          <w:b/>
          <w:sz w:val="24"/>
        </w:rPr>
        <w:t>接受和拒绝任何或所有投标的权力</w:t>
      </w:r>
    </w:p>
    <w:p>
      <w:pPr>
        <w:numPr>
          <w:ilvl w:val="1"/>
          <w:numId w:val="17"/>
        </w:numPr>
        <w:tabs>
          <w:tab w:val="left" w:pos="644"/>
          <w:tab w:val="left" w:pos="851"/>
        </w:tabs>
        <w:snapToGrid w:val="0"/>
        <w:spacing w:line="460" w:lineRule="exact"/>
        <w:ind w:left="851" w:hanging="851"/>
        <w:jc w:val="both"/>
      </w:pPr>
      <w:r>
        <w:t>招标代理机构和招标人保留在授标之前任何时候接受或拒绝任何投标，以及宣布招标程序无效或拒绝所有投标的权力，对受影响的投标人不承担任何责任，也无义务向受影响的投标人解释采取这一行动的理由。</w:t>
      </w:r>
    </w:p>
    <w:p>
      <w:pPr>
        <w:numPr>
          <w:ilvl w:val="0"/>
          <w:numId w:val="17"/>
        </w:numPr>
        <w:tabs>
          <w:tab w:val="left" w:pos="851"/>
        </w:tabs>
        <w:spacing w:line="460" w:lineRule="exact"/>
        <w:jc w:val="both"/>
        <w:rPr>
          <w:b/>
          <w:sz w:val="24"/>
        </w:rPr>
      </w:pPr>
      <w:r>
        <w:rPr>
          <w:b/>
          <w:sz w:val="24"/>
        </w:rPr>
        <w:t>中标通知书</w:t>
      </w:r>
    </w:p>
    <w:p>
      <w:pPr>
        <w:snapToGrid w:val="0"/>
        <w:spacing w:line="460" w:lineRule="exact"/>
        <w:ind w:left="840" w:leftChars="400" w:firstLine="0" w:firstLineChars="0"/>
        <w:jc w:val="both"/>
        <w:rPr>
          <w:b/>
          <w:sz w:val="24"/>
        </w:rPr>
      </w:pPr>
      <w:r>
        <w:rPr>
          <w:kern w:val="28"/>
        </w:rPr>
        <w:t>中标人确定后，招标代理机构将在</w:t>
      </w:r>
      <w:r>
        <w:rPr>
          <w:rFonts w:hint="eastAsia" w:ascii="宋体" w:hAnsi="宋体"/>
          <w:szCs w:val="21"/>
          <w:highlight w:val="none"/>
        </w:rPr>
        <w:t>①中山市公共资源交易中心网、②</w:t>
      </w:r>
      <w:r>
        <w:rPr>
          <w:rFonts w:hint="eastAsia" w:ascii="宋体" w:hAnsi="宋体"/>
          <w:szCs w:val="21"/>
          <w:highlight w:val="none"/>
          <w:lang w:eastAsia="zh-CN"/>
        </w:rPr>
        <w:t>中国采购与招标网、</w:t>
      </w:r>
      <w:r>
        <w:rPr>
          <w:rFonts w:hint="eastAsia" w:ascii="宋体" w:hAnsi="宋体" w:eastAsia="宋体" w:cs="宋体"/>
          <w:szCs w:val="21"/>
          <w:highlight w:val="none"/>
          <w:lang w:eastAsia="zh-CN"/>
        </w:rPr>
        <w:t>③</w:t>
      </w:r>
      <w:r>
        <w:rPr>
          <w:rFonts w:hint="eastAsia" w:ascii="宋体" w:hAnsi="宋体"/>
          <w:szCs w:val="21"/>
          <w:highlight w:val="none"/>
          <w:lang w:eastAsia="zh-CN"/>
        </w:rPr>
        <w:t>中国政府采购网、</w:t>
      </w:r>
      <w:r>
        <w:rPr>
          <w:rFonts w:hint="eastAsia" w:ascii="宋体" w:hAnsi="宋体" w:eastAsia="宋体" w:cs="宋体"/>
          <w:szCs w:val="21"/>
          <w:highlight w:val="none"/>
          <w:lang w:eastAsia="zh-CN"/>
        </w:rPr>
        <w:t>④</w:t>
      </w:r>
      <w:r>
        <w:rPr>
          <w:rFonts w:hint="eastAsia" w:ascii="宋体" w:hAnsi="宋体" w:cs="宋体"/>
          <w:szCs w:val="21"/>
          <w:highlight w:val="none"/>
          <w:lang w:eastAsia="zh-CN"/>
        </w:rPr>
        <w:t>招标代理机构网</w:t>
      </w:r>
      <w:r>
        <w:rPr>
          <w:kern w:val="28"/>
        </w:rPr>
        <w:t>上公</w:t>
      </w:r>
      <w:r>
        <w:rPr>
          <w:rFonts w:hint="eastAsia"/>
          <w:kern w:val="28"/>
          <w:lang w:eastAsia="zh-CN"/>
        </w:rPr>
        <w:t>告中</w:t>
      </w:r>
      <w:r>
        <w:rPr>
          <w:kern w:val="28"/>
        </w:rPr>
        <w:t>标结果，并向中标人发出《中标通知书》，《中标通知书》对中标人和招标人具有同等法律效力。</w:t>
      </w:r>
    </w:p>
    <w:p>
      <w:pPr>
        <w:numPr>
          <w:ilvl w:val="0"/>
          <w:numId w:val="17"/>
        </w:numPr>
        <w:tabs>
          <w:tab w:val="left" w:pos="851"/>
        </w:tabs>
        <w:snapToGrid w:val="0"/>
        <w:spacing w:line="460" w:lineRule="exact"/>
        <w:jc w:val="both"/>
        <w:rPr>
          <w:b/>
          <w:sz w:val="24"/>
        </w:rPr>
      </w:pPr>
      <w:r>
        <w:rPr>
          <w:b/>
          <w:sz w:val="24"/>
        </w:rPr>
        <w:t>签订合同</w:t>
      </w:r>
    </w:p>
    <w:p>
      <w:pPr>
        <w:numPr>
          <w:ilvl w:val="0"/>
          <w:numId w:val="27"/>
        </w:numPr>
        <w:snapToGrid w:val="0"/>
        <w:spacing w:line="460" w:lineRule="exact"/>
        <w:ind w:left="630" w:leftChars="300" w:firstLine="0" w:firstLineChars="0"/>
        <w:jc w:val="both"/>
      </w:pPr>
      <w:r>
        <w:rPr>
          <w:rFonts w:hint="eastAsia"/>
          <w:lang w:val="en-US" w:eastAsia="zh-CN"/>
        </w:rPr>
        <w:t xml:space="preserve"> </w:t>
      </w:r>
      <w:r>
        <w:t>中标人在收到《中标通知书》后，应按照《中标通知书》指定的时间、地点，派遣其授权代表前往与招标人签署合同。</w:t>
      </w:r>
    </w:p>
    <w:p>
      <w:pPr>
        <w:numPr>
          <w:ilvl w:val="0"/>
          <w:numId w:val="27"/>
        </w:numPr>
        <w:snapToGrid w:val="0"/>
        <w:spacing w:line="460" w:lineRule="exact"/>
        <w:ind w:left="630" w:leftChars="300" w:firstLine="0" w:firstLineChars="0"/>
        <w:jc w:val="both"/>
      </w:pPr>
      <w:r>
        <w:rPr>
          <w:rFonts w:hint="eastAsia"/>
          <w:lang w:val="en-US" w:eastAsia="zh-CN"/>
        </w:rPr>
        <w:t xml:space="preserve"> </w:t>
      </w:r>
      <w:r>
        <w:t>中标人应当在收到招标人通知或者领取中标通知书之日起30日历天内与招标人签订合同。中标人不得以任何理由拖延、拒绝签订合同。如中标人没有在规定的时间内与招标人签订合同或者书面来函退出，则招标人视为该中标人放弃中标资格，并保留对其追究责任的权利。招标人有权将本项目重新组织招标或者根据评审情况推荐下一名候选人为中标人。</w:t>
      </w:r>
    </w:p>
    <w:p>
      <w:pPr>
        <w:numPr>
          <w:ilvl w:val="0"/>
          <w:numId w:val="17"/>
        </w:numPr>
        <w:tabs>
          <w:tab w:val="left" w:pos="851"/>
        </w:tabs>
        <w:snapToGrid w:val="0"/>
        <w:spacing w:line="460" w:lineRule="exact"/>
        <w:jc w:val="both"/>
        <w:rPr>
          <w:b/>
          <w:sz w:val="24"/>
        </w:rPr>
      </w:pPr>
      <w:r>
        <w:rPr>
          <w:b/>
          <w:sz w:val="24"/>
        </w:rPr>
        <w:t>合同的履行</w:t>
      </w:r>
    </w:p>
    <w:p>
      <w:pPr>
        <w:snapToGrid w:val="0"/>
        <w:spacing w:line="460" w:lineRule="exact"/>
        <w:ind w:left="630" w:leftChars="300" w:firstLine="0" w:firstLineChars="0"/>
        <w:jc w:val="both"/>
      </w:pPr>
      <w:r>
        <w:t>（1） 合同订立后，合同各方不得擅自变更、中止或者终止合同。合同需要变更的，招标人应将有关合同变更内容，以书面形式报监督管理机关备案；因特殊情况需要中止或终止合同的，招标人应将中止或终止合同的理由以及相应措施，以书面形式报监督管理机关备案。</w:t>
      </w:r>
    </w:p>
    <w:p>
      <w:pPr>
        <w:snapToGrid w:val="0"/>
        <w:spacing w:line="460" w:lineRule="exact"/>
        <w:ind w:left="630" w:leftChars="300" w:firstLine="0" w:firstLineChars="0"/>
        <w:jc w:val="both"/>
        <w:rPr>
          <w:highlight w:val="yellow"/>
        </w:rPr>
      </w:pPr>
      <w:r>
        <w:t>（2）合同履行中，招标人需追加与合同标的相同的服务的，在不改变合同其他条款的前提下，可以与服务商签订补充合同，但所补充合同的金额不得超过原标的金额的百分之十。</w:t>
      </w:r>
    </w:p>
    <w:p>
      <w:pPr>
        <w:snapToGrid w:val="0"/>
        <w:spacing w:line="460" w:lineRule="exact"/>
        <w:ind w:left="630" w:leftChars="300" w:firstLine="0" w:firstLineChars="0"/>
        <w:jc w:val="both"/>
        <w:rPr>
          <w:b/>
          <w:sz w:val="24"/>
        </w:rPr>
      </w:pPr>
      <w:r>
        <w:t>（3）中标人须按用户需求书的规定向招标人提交履约保证金。如果中标人不按规定向招标人提交履约担保，招标人将有充分的理由取消其中标资格并不予退还其投标保证金。</w:t>
      </w:r>
    </w:p>
    <w:p>
      <w:pPr>
        <w:numPr>
          <w:ilvl w:val="0"/>
          <w:numId w:val="17"/>
        </w:numPr>
        <w:tabs>
          <w:tab w:val="left" w:pos="851"/>
        </w:tabs>
        <w:snapToGrid w:val="0"/>
        <w:spacing w:line="460" w:lineRule="exact"/>
        <w:jc w:val="both"/>
        <w:rPr>
          <w:b/>
          <w:sz w:val="24"/>
        </w:rPr>
      </w:pPr>
      <w:r>
        <w:rPr>
          <w:b/>
          <w:sz w:val="24"/>
        </w:rPr>
        <w:t>中标服务费</w:t>
      </w:r>
    </w:p>
    <w:p>
      <w:pPr>
        <w:numPr>
          <w:ilvl w:val="1"/>
          <w:numId w:val="10"/>
        </w:numPr>
        <w:tabs>
          <w:tab w:val="left" w:pos="848"/>
        </w:tabs>
        <w:snapToGrid w:val="0"/>
        <w:spacing w:line="460" w:lineRule="exact"/>
        <w:ind w:left="848" w:hanging="848"/>
        <w:jc w:val="both"/>
        <w:rPr>
          <w:szCs w:val="21"/>
        </w:rPr>
      </w:pPr>
      <w:r>
        <w:rPr>
          <w:rFonts w:hint="eastAsia"/>
          <w:szCs w:val="21"/>
        </w:rPr>
        <w:t>中标人应在收取《中标通知书》时向采购代理机构交纳中标服务费，本项目专家评委的评审费用由中标单位支付（金额以评委领取评标费签名表格为准）。中标服务费的收费标准按国家计委颁发的计价格【2002】1980号文及发改价格</w:t>
      </w:r>
      <w:r>
        <w:rPr>
          <w:szCs w:val="21"/>
        </w:rPr>
        <w:t>[2011]534号文的</w:t>
      </w:r>
      <w:r>
        <w:rPr>
          <w:rFonts w:hint="eastAsia"/>
          <w:szCs w:val="21"/>
        </w:rPr>
        <w:t>规定按差额定率累进法计算，收费标准如下表所列：</w:t>
      </w:r>
    </w:p>
    <w:tbl>
      <w:tblPr>
        <w:tblStyle w:val="55"/>
        <w:tblW w:w="874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48"/>
        <w:gridCol w:w="2281"/>
        <w:gridCol w:w="2059"/>
        <w:gridCol w:w="20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48" w:type="dxa"/>
            <w:tcBorders>
              <w:top w:val="double" w:color="auto" w:sz="4" w:space="0"/>
              <w:left w:val="double" w:color="auto" w:sz="4" w:space="0"/>
              <w:bottom w:val="single" w:color="auto" w:sz="6" w:space="0"/>
              <w:right w:val="single" w:color="auto" w:sz="6" w:space="0"/>
            </w:tcBorders>
            <w:shd w:val="clear" w:color="auto" w:fill="D9D9D9"/>
            <w:vAlign w:val="center"/>
          </w:tcPr>
          <w:p>
            <w:pPr>
              <w:tabs>
                <w:tab w:val="left" w:pos="756"/>
                <w:tab w:val="left" w:pos="848"/>
              </w:tabs>
              <w:snapToGrid w:val="0"/>
              <w:spacing w:line="460" w:lineRule="exact"/>
              <w:jc w:val="both"/>
              <w:rPr>
                <w:szCs w:val="21"/>
              </w:rPr>
            </w:pPr>
            <w:r>
              <w:rPr>
                <w:rFonts w:hint="eastAsia"/>
                <w:szCs w:val="21"/>
              </w:rPr>
              <w:t>中介预算金额（万元）</w:t>
            </w:r>
          </w:p>
        </w:tc>
        <w:tc>
          <w:tcPr>
            <w:tcW w:w="2281" w:type="dxa"/>
            <w:tcBorders>
              <w:top w:val="double" w:color="auto" w:sz="4" w:space="0"/>
              <w:left w:val="single" w:color="auto" w:sz="6" w:space="0"/>
              <w:bottom w:val="single" w:color="auto" w:sz="6" w:space="0"/>
              <w:right w:val="single" w:color="auto" w:sz="6" w:space="0"/>
            </w:tcBorders>
            <w:shd w:val="clear" w:color="auto" w:fill="D9D9D9"/>
            <w:vAlign w:val="center"/>
          </w:tcPr>
          <w:p>
            <w:pPr>
              <w:tabs>
                <w:tab w:val="left" w:pos="756"/>
                <w:tab w:val="left" w:pos="848"/>
              </w:tabs>
              <w:snapToGrid w:val="0"/>
              <w:spacing w:line="460" w:lineRule="exact"/>
              <w:jc w:val="both"/>
              <w:rPr>
                <w:szCs w:val="21"/>
              </w:rPr>
            </w:pPr>
            <w:r>
              <w:rPr>
                <w:rFonts w:hint="eastAsia"/>
                <w:szCs w:val="21"/>
              </w:rPr>
              <w:t>货物招标收费费率</w:t>
            </w:r>
          </w:p>
        </w:tc>
        <w:tc>
          <w:tcPr>
            <w:tcW w:w="2059" w:type="dxa"/>
            <w:tcBorders>
              <w:top w:val="double" w:color="auto" w:sz="4" w:space="0"/>
              <w:left w:val="single" w:color="auto" w:sz="6" w:space="0"/>
              <w:bottom w:val="single" w:color="auto" w:sz="6" w:space="0"/>
              <w:right w:val="single" w:color="auto" w:sz="6" w:space="0"/>
            </w:tcBorders>
            <w:shd w:val="clear" w:color="auto" w:fill="D9D9D9"/>
            <w:vAlign w:val="center"/>
          </w:tcPr>
          <w:p>
            <w:pPr>
              <w:tabs>
                <w:tab w:val="left" w:pos="756"/>
                <w:tab w:val="left" w:pos="848"/>
              </w:tabs>
              <w:snapToGrid w:val="0"/>
              <w:spacing w:line="460" w:lineRule="exact"/>
              <w:jc w:val="both"/>
              <w:rPr>
                <w:szCs w:val="21"/>
              </w:rPr>
            </w:pPr>
            <w:r>
              <w:rPr>
                <w:rFonts w:hint="eastAsia"/>
                <w:szCs w:val="21"/>
              </w:rPr>
              <w:t>服务招标收费费率</w:t>
            </w:r>
          </w:p>
        </w:tc>
        <w:tc>
          <w:tcPr>
            <w:tcW w:w="2059" w:type="dxa"/>
            <w:tcBorders>
              <w:top w:val="double" w:color="auto" w:sz="4" w:space="0"/>
              <w:left w:val="single" w:color="auto" w:sz="6" w:space="0"/>
              <w:bottom w:val="single" w:color="auto" w:sz="6" w:space="0"/>
              <w:right w:val="double" w:color="auto" w:sz="4" w:space="0"/>
            </w:tcBorders>
            <w:shd w:val="clear" w:color="auto" w:fill="D9D9D9"/>
            <w:vAlign w:val="center"/>
          </w:tcPr>
          <w:p>
            <w:pPr>
              <w:tabs>
                <w:tab w:val="left" w:pos="756"/>
                <w:tab w:val="left" w:pos="848"/>
              </w:tabs>
              <w:snapToGrid w:val="0"/>
              <w:spacing w:line="460" w:lineRule="exact"/>
              <w:jc w:val="both"/>
              <w:rPr>
                <w:szCs w:val="21"/>
              </w:rPr>
            </w:pPr>
            <w:r>
              <w:rPr>
                <w:rFonts w:hint="eastAsia"/>
                <w:szCs w:val="21"/>
              </w:rPr>
              <w:t>工程招标收费费率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48" w:type="dxa"/>
            <w:tcBorders>
              <w:top w:val="single" w:color="auto" w:sz="6" w:space="0"/>
              <w:left w:val="double" w:color="auto" w:sz="4"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100以下</w:t>
            </w:r>
          </w:p>
        </w:tc>
        <w:tc>
          <w:tcPr>
            <w:tcW w:w="2281"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1.5%</w:t>
            </w:r>
          </w:p>
        </w:tc>
        <w:tc>
          <w:tcPr>
            <w:tcW w:w="2059"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1.5%</w:t>
            </w:r>
          </w:p>
        </w:tc>
        <w:tc>
          <w:tcPr>
            <w:tcW w:w="2059" w:type="dxa"/>
            <w:tcBorders>
              <w:top w:val="single" w:color="auto" w:sz="6" w:space="0"/>
              <w:left w:val="single" w:color="auto" w:sz="6" w:space="0"/>
              <w:bottom w:val="single" w:color="auto" w:sz="6" w:space="0"/>
              <w:right w:val="double" w:color="auto" w:sz="4" w:space="0"/>
            </w:tcBorders>
            <w:vAlign w:val="top"/>
          </w:tcPr>
          <w:p>
            <w:pPr>
              <w:tabs>
                <w:tab w:val="left" w:pos="756"/>
                <w:tab w:val="left" w:pos="848"/>
              </w:tabs>
              <w:snapToGrid w:val="0"/>
              <w:spacing w:line="460" w:lineRule="exact"/>
              <w:jc w:val="center"/>
              <w:rPr>
                <w:szCs w:val="21"/>
              </w:rPr>
            </w:pPr>
            <w:r>
              <w:rPr>
                <w:rFonts w:hint="eastAsia"/>
                <w:szCs w:val="21"/>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48" w:type="dxa"/>
            <w:tcBorders>
              <w:top w:val="single" w:color="auto" w:sz="6" w:space="0"/>
              <w:left w:val="double" w:color="auto" w:sz="4"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100-500</w:t>
            </w:r>
          </w:p>
        </w:tc>
        <w:tc>
          <w:tcPr>
            <w:tcW w:w="2281"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1.10%</w:t>
            </w:r>
          </w:p>
        </w:tc>
        <w:tc>
          <w:tcPr>
            <w:tcW w:w="2059"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0.8%</w:t>
            </w:r>
          </w:p>
        </w:tc>
        <w:tc>
          <w:tcPr>
            <w:tcW w:w="2059" w:type="dxa"/>
            <w:tcBorders>
              <w:top w:val="single" w:color="auto" w:sz="6" w:space="0"/>
              <w:left w:val="single" w:color="auto" w:sz="6" w:space="0"/>
              <w:bottom w:val="single" w:color="auto" w:sz="6" w:space="0"/>
              <w:right w:val="double" w:color="auto" w:sz="4" w:space="0"/>
            </w:tcBorders>
            <w:vAlign w:val="top"/>
          </w:tcPr>
          <w:p>
            <w:pPr>
              <w:tabs>
                <w:tab w:val="left" w:pos="756"/>
                <w:tab w:val="left" w:pos="848"/>
              </w:tabs>
              <w:snapToGrid w:val="0"/>
              <w:spacing w:line="460" w:lineRule="exact"/>
              <w:jc w:val="center"/>
              <w:rPr>
                <w:szCs w:val="21"/>
              </w:rPr>
            </w:pPr>
            <w:r>
              <w:rPr>
                <w:rFonts w:hint="eastAsia"/>
                <w:szCs w:val="21"/>
              </w:rPr>
              <w:t>0.7%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48" w:type="dxa"/>
            <w:tcBorders>
              <w:top w:val="single" w:color="auto" w:sz="6" w:space="0"/>
              <w:left w:val="double" w:color="auto" w:sz="4"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500-1000</w:t>
            </w:r>
          </w:p>
        </w:tc>
        <w:tc>
          <w:tcPr>
            <w:tcW w:w="2281"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0.8%</w:t>
            </w:r>
          </w:p>
        </w:tc>
        <w:tc>
          <w:tcPr>
            <w:tcW w:w="2059"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0.45%</w:t>
            </w:r>
          </w:p>
        </w:tc>
        <w:tc>
          <w:tcPr>
            <w:tcW w:w="2059" w:type="dxa"/>
            <w:tcBorders>
              <w:top w:val="single" w:color="auto" w:sz="6" w:space="0"/>
              <w:left w:val="single" w:color="auto" w:sz="6" w:space="0"/>
              <w:bottom w:val="single" w:color="auto" w:sz="6" w:space="0"/>
              <w:right w:val="double" w:color="auto" w:sz="4" w:space="0"/>
            </w:tcBorders>
            <w:vAlign w:val="top"/>
          </w:tcPr>
          <w:p>
            <w:pPr>
              <w:tabs>
                <w:tab w:val="left" w:pos="756"/>
                <w:tab w:val="left" w:pos="848"/>
              </w:tabs>
              <w:snapToGrid w:val="0"/>
              <w:spacing w:line="460" w:lineRule="exact"/>
              <w:jc w:val="center"/>
              <w:rPr>
                <w:szCs w:val="21"/>
              </w:rPr>
            </w:pPr>
            <w:r>
              <w:rPr>
                <w:rFonts w:hint="eastAsia"/>
                <w:szCs w:val="21"/>
              </w:rPr>
              <w:t>0.55%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48" w:type="dxa"/>
            <w:tcBorders>
              <w:top w:val="single" w:color="auto" w:sz="6" w:space="0"/>
              <w:left w:val="double" w:color="auto" w:sz="4"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1000-5000</w:t>
            </w:r>
          </w:p>
        </w:tc>
        <w:tc>
          <w:tcPr>
            <w:tcW w:w="2281"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0.5%</w:t>
            </w:r>
          </w:p>
        </w:tc>
        <w:tc>
          <w:tcPr>
            <w:tcW w:w="2059"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0.25%</w:t>
            </w:r>
          </w:p>
        </w:tc>
        <w:tc>
          <w:tcPr>
            <w:tcW w:w="2059" w:type="dxa"/>
            <w:tcBorders>
              <w:top w:val="single" w:color="auto" w:sz="6" w:space="0"/>
              <w:left w:val="single" w:color="auto" w:sz="6" w:space="0"/>
              <w:bottom w:val="single" w:color="auto" w:sz="6" w:space="0"/>
              <w:right w:val="double" w:color="auto" w:sz="4" w:space="0"/>
            </w:tcBorders>
            <w:vAlign w:val="top"/>
          </w:tcPr>
          <w:p>
            <w:pPr>
              <w:tabs>
                <w:tab w:val="left" w:pos="756"/>
                <w:tab w:val="left" w:pos="848"/>
              </w:tabs>
              <w:snapToGrid w:val="0"/>
              <w:spacing w:line="460" w:lineRule="exact"/>
              <w:jc w:val="center"/>
              <w:rPr>
                <w:szCs w:val="21"/>
              </w:rPr>
            </w:pPr>
            <w:r>
              <w:rPr>
                <w:rFonts w:hint="eastAsia"/>
                <w:szCs w:val="21"/>
              </w:rPr>
              <w:t>0.35%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48" w:type="dxa"/>
            <w:tcBorders>
              <w:top w:val="single" w:color="auto" w:sz="6" w:space="0"/>
              <w:left w:val="double" w:color="auto" w:sz="4" w:space="0"/>
              <w:bottom w:val="single" w:color="auto" w:sz="6" w:space="0"/>
              <w:right w:val="single" w:color="auto" w:sz="6" w:space="0"/>
            </w:tcBorders>
            <w:vAlign w:val="center"/>
          </w:tcPr>
          <w:p>
            <w:pPr>
              <w:tabs>
                <w:tab w:val="left" w:pos="756"/>
                <w:tab w:val="left" w:pos="848"/>
              </w:tabs>
              <w:snapToGrid w:val="0"/>
              <w:spacing w:line="460" w:lineRule="exact"/>
              <w:jc w:val="center"/>
              <w:rPr>
                <w:szCs w:val="21"/>
              </w:rPr>
            </w:pPr>
            <w:r>
              <w:rPr>
                <w:rFonts w:hint="eastAsia"/>
                <w:szCs w:val="21"/>
              </w:rPr>
              <w:t>5000-10000</w:t>
            </w:r>
          </w:p>
        </w:tc>
        <w:tc>
          <w:tcPr>
            <w:tcW w:w="2281" w:type="dxa"/>
            <w:tcBorders>
              <w:top w:val="single" w:color="auto" w:sz="6" w:space="0"/>
              <w:left w:val="single" w:color="auto" w:sz="6" w:space="0"/>
              <w:bottom w:val="single" w:color="auto" w:sz="6" w:space="0"/>
              <w:right w:val="single" w:color="auto" w:sz="6" w:space="0"/>
            </w:tcBorders>
            <w:vAlign w:val="center"/>
          </w:tcPr>
          <w:p>
            <w:pPr>
              <w:tabs>
                <w:tab w:val="left" w:pos="756"/>
                <w:tab w:val="left" w:pos="848"/>
              </w:tabs>
              <w:snapToGrid w:val="0"/>
              <w:spacing w:line="460" w:lineRule="exact"/>
              <w:jc w:val="center"/>
              <w:rPr>
                <w:szCs w:val="21"/>
              </w:rPr>
            </w:pPr>
            <w:r>
              <w:rPr>
                <w:rFonts w:hint="eastAsia"/>
                <w:szCs w:val="21"/>
              </w:rPr>
              <w:t>0.25%</w:t>
            </w:r>
          </w:p>
        </w:tc>
        <w:tc>
          <w:tcPr>
            <w:tcW w:w="2059" w:type="dxa"/>
            <w:tcBorders>
              <w:top w:val="single" w:color="auto" w:sz="6" w:space="0"/>
              <w:left w:val="single" w:color="auto" w:sz="6" w:space="0"/>
              <w:bottom w:val="single" w:color="auto" w:sz="6" w:space="0"/>
              <w:right w:val="single" w:color="auto" w:sz="6" w:space="0"/>
            </w:tcBorders>
            <w:vAlign w:val="center"/>
          </w:tcPr>
          <w:p>
            <w:pPr>
              <w:tabs>
                <w:tab w:val="left" w:pos="756"/>
                <w:tab w:val="left" w:pos="848"/>
              </w:tabs>
              <w:snapToGrid w:val="0"/>
              <w:spacing w:line="460" w:lineRule="exact"/>
              <w:jc w:val="center"/>
              <w:rPr>
                <w:szCs w:val="21"/>
              </w:rPr>
            </w:pPr>
            <w:r>
              <w:rPr>
                <w:rFonts w:hint="eastAsia"/>
                <w:szCs w:val="21"/>
              </w:rPr>
              <w:t>0.10%</w:t>
            </w:r>
          </w:p>
        </w:tc>
        <w:tc>
          <w:tcPr>
            <w:tcW w:w="2059" w:type="dxa"/>
            <w:tcBorders>
              <w:top w:val="single" w:color="auto" w:sz="6" w:space="0"/>
              <w:left w:val="single" w:color="auto" w:sz="6" w:space="0"/>
              <w:bottom w:val="single" w:color="auto" w:sz="6" w:space="0"/>
              <w:right w:val="double" w:color="auto" w:sz="4" w:space="0"/>
            </w:tcBorders>
            <w:vAlign w:val="center"/>
          </w:tcPr>
          <w:p>
            <w:pPr>
              <w:tabs>
                <w:tab w:val="left" w:pos="756"/>
                <w:tab w:val="left" w:pos="848"/>
              </w:tabs>
              <w:snapToGrid w:val="0"/>
              <w:spacing w:line="460" w:lineRule="exact"/>
              <w:jc w:val="center"/>
              <w:rPr>
                <w:szCs w:val="21"/>
              </w:rPr>
            </w:pPr>
            <w:r>
              <w:rPr>
                <w:rFonts w:hint="eastAsia"/>
                <w:szCs w:val="21"/>
              </w:rPr>
              <w:t>0.20%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48" w:type="dxa"/>
            <w:tcBorders>
              <w:top w:val="single" w:color="auto" w:sz="6" w:space="0"/>
              <w:left w:val="double" w:color="auto" w:sz="4" w:space="0"/>
              <w:bottom w:val="single" w:color="auto" w:sz="6" w:space="0"/>
              <w:right w:val="single" w:color="auto" w:sz="6" w:space="0"/>
            </w:tcBorders>
            <w:vAlign w:val="center"/>
          </w:tcPr>
          <w:p>
            <w:pPr>
              <w:tabs>
                <w:tab w:val="left" w:pos="756"/>
                <w:tab w:val="left" w:pos="848"/>
              </w:tabs>
              <w:snapToGrid w:val="0"/>
              <w:spacing w:line="460" w:lineRule="exact"/>
              <w:jc w:val="center"/>
              <w:rPr>
                <w:szCs w:val="21"/>
              </w:rPr>
            </w:pPr>
            <w:r>
              <w:rPr>
                <w:rFonts w:hint="eastAsia"/>
                <w:szCs w:val="21"/>
              </w:rPr>
              <w:t>10000-100000</w:t>
            </w:r>
          </w:p>
        </w:tc>
        <w:tc>
          <w:tcPr>
            <w:tcW w:w="2281" w:type="dxa"/>
            <w:tcBorders>
              <w:top w:val="single" w:color="auto" w:sz="6" w:space="0"/>
              <w:left w:val="single" w:color="auto" w:sz="6" w:space="0"/>
              <w:bottom w:val="single" w:color="auto" w:sz="6" w:space="0"/>
              <w:right w:val="single" w:color="auto" w:sz="6" w:space="0"/>
            </w:tcBorders>
            <w:vAlign w:val="center"/>
          </w:tcPr>
          <w:p>
            <w:pPr>
              <w:tabs>
                <w:tab w:val="left" w:pos="756"/>
                <w:tab w:val="left" w:pos="848"/>
              </w:tabs>
              <w:snapToGrid w:val="0"/>
              <w:spacing w:line="460" w:lineRule="exact"/>
              <w:jc w:val="center"/>
              <w:rPr>
                <w:szCs w:val="21"/>
              </w:rPr>
            </w:pPr>
            <w:r>
              <w:rPr>
                <w:rFonts w:hint="eastAsia"/>
                <w:szCs w:val="21"/>
              </w:rPr>
              <w:t>0.05%</w:t>
            </w:r>
          </w:p>
        </w:tc>
        <w:tc>
          <w:tcPr>
            <w:tcW w:w="2059" w:type="dxa"/>
            <w:tcBorders>
              <w:top w:val="single" w:color="auto" w:sz="6" w:space="0"/>
              <w:left w:val="single" w:color="auto" w:sz="6" w:space="0"/>
              <w:bottom w:val="single" w:color="auto" w:sz="6" w:space="0"/>
              <w:right w:val="single" w:color="auto" w:sz="6" w:space="0"/>
            </w:tcBorders>
            <w:vAlign w:val="center"/>
          </w:tcPr>
          <w:p>
            <w:pPr>
              <w:tabs>
                <w:tab w:val="left" w:pos="756"/>
                <w:tab w:val="left" w:pos="848"/>
              </w:tabs>
              <w:snapToGrid w:val="0"/>
              <w:spacing w:line="460" w:lineRule="exact"/>
              <w:jc w:val="center"/>
              <w:rPr>
                <w:szCs w:val="21"/>
              </w:rPr>
            </w:pPr>
            <w:r>
              <w:rPr>
                <w:rFonts w:hint="eastAsia"/>
                <w:szCs w:val="21"/>
              </w:rPr>
              <w:t>0.05%</w:t>
            </w:r>
          </w:p>
        </w:tc>
        <w:tc>
          <w:tcPr>
            <w:tcW w:w="2059" w:type="dxa"/>
            <w:tcBorders>
              <w:top w:val="single" w:color="auto" w:sz="6" w:space="0"/>
              <w:left w:val="single" w:color="auto" w:sz="6" w:space="0"/>
              <w:bottom w:val="single" w:color="auto" w:sz="6" w:space="0"/>
              <w:right w:val="double" w:color="auto" w:sz="4" w:space="0"/>
            </w:tcBorders>
            <w:vAlign w:val="center"/>
          </w:tcPr>
          <w:p>
            <w:pPr>
              <w:tabs>
                <w:tab w:val="left" w:pos="756"/>
                <w:tab w:val="left" w:pos="848"/>
              </w:tabs>
              <w:snapToGrid w:val="0"/>
              <w:spacing w:line="460" w:lineRule="exact"/>
              <w:jc w:val="center"/>
              <w:rPr>
                <w:szCs w:val="21"/>
              </w:rPr>
            </w:pPr>
            <w:r>
              <w:rPr>
                <w:rFonts w:hint="eastAsia"/>
                <w:szCs w:val="21"/>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48" w:type="dxa"/>
            <w:tcBorders>
              <w:top w:val="single" w:color="auto" w:sz="6" w:space="0"/>
              <w:left w:val="double" w:color="auto" w:sz="4" w:space="0"/>
              <w:bottom w:val="double" w:color="auto" w:sz="4" w:space="0"/>
              <w:right w:val="single" w:color="auto" w:sz="6" w:space="0"/>
            </w:tcBorders>
            <w:vAlign w:val="center"/>
          </w:tcPr>
          <w:p>
            <w:pPr>
              <w:tabs>
                <w:tab w:val="left" w:pos="756"/>
                <w:tab w:val="left" w:pos="848"/>
              </w:tabs>
              <w:snapToGrid w:val="0"/>
              <w:spacing w:line="460" w:lineRule="exact"/>
              <w:jc w:val="center"/>
              <w:rPr>
                <w:szCs w:val="21"/>
              </w:rPr>
            </w:pPr>
            <w:r>
              <w:rPr>
                <w:rFonts w:hint="eastAsia"/>
                <w:szCs w:val="21"/>
              </w:rPr>
              <w:t>100000以上</w:t>
            </w:r>
          </w:p>
        </w:tc>
        <w:tc>
          <w:tcPr>
            <w:tcW w:w="2281" w:type="dxa"/>
            <w:tcBorders>
              <w:top w:val="single" w:color="auto" w:sz="6" w:space="0"/>
              <w:left w:val="single" w:color="auto" w:sz="6" w:space="0"/>
              <w:bottom w:val="double" w:color="auto" w:sz="4" w:space="0"/>
              <w:right w:val="single" w:color="auto" w:sz="6" w:space="0"/>
            </w:tcBorders>
            <w:vAlign w:val="center"/>
          </w:tcPr>
          <w:p>
            <w:pPr>
              <w:tabs>
                <w:tab w:val="left" w:pos="756"/>
                <w:tab w:val="left" w:pos="848"/>
              </w:tabs>
              <w:snapToGrid w:val="0"/>
              <w:spacing w:line="460" w:lineRule="exact"/>
              <w:jc w:val="center"/>
              <w:rPr>
                <w:szCs w:val="21"/>
              </w:rPr>
            </w:pPr>
            <w:r>
              <w:rPr>
                <w:rFonts w:hint="eastAsia"/>
                <w:szCs w:val="21"/>
              </w:rPr>
              <w:t>0.01%</w:t>
            </w:r>
          </w:p>
        </w:tc>
        <w:tc>
          <w:tcPr>
            <w:tcW w:w="2059" w:type="dxa"/>
            <w:tcBorders>
              <w:top w:val="single" w:color="auto" w:sz="6" w:space="0"/>
              <w:left w:val="single" w:color="auto" w:sz="6" w:space="0"/>
              <w:bottom w:val="double" w:color="auto" w:sz="4" w:space="0"/>
              <w:right w:val="single" w:color="auto" w:sz="6" w:space="0"/>
            </w:tcBorders>
            <w:vAlign w:val="center"/>
          </w:tcPr>
          <w:p>
            <w:pPr>
              <w:tabs>
                <w:tab w:val="left" w:pos="756"/>
                <w:tab w:val="left" w:pos="848"/>
              </w:tabs>
              <w:snapToGrid w:val="0"/>
              <w:spacing w:line="460" w:lineRule="exact"/>
              <w:jc w:val="center"/>
              <w:rPr>
                <w:szCs w:val="21"/>
              </w:rPr>
            </w:pPr>
            <w:r>
              <w:rPr>
                <w:rFonts w:hint="eastAsia"/>
                <w:szCs w:val="21"/>
              </w:rPr>
              <w:t>0.01%</w:t>
            </w:r>
          </w:p>
        </w:tc>
        <w:tc>
          <w:tcPr>
            <w:tcW w:w="2059" w:type="dxa"/>
            <w:tcBorders>
              <w:top w:val="single" w:color="auto" w:sz="6" w:space="0"/>
              <w:left w:val="single" w:color="auto" w:sz="6" w:space="0"/>
              <w:bottom w:val="double" w:color="auto" w:sz="4" w:space="0"/>
              <w:right w:val="double" w:color="auto" w:sz="4" w:space="0"/>
            </w:tcBorders>
            <w:vAlign w:val="center"/>
          </w:tcPr>
          <w:p>
            <w:pPr>
              <w:tabs>
                <w:tab w:val="left" w:pos="756"/>
                <w:tab w:val="left" w:pos="848"/>
              </w:tabs>
              <w:snapToGrid w:val="0"/>
              <w:spacing w:line="460" w:lineRule="exact"/>
              <w:jc w:val="center"/>
              <w:rPr>
                <w:szCs w:val="21"/>
              </w:rPr>
            </w:pPr>
            <w:r>
              <w:rPr>
                <w:rFonts w:hint="eastAsia"/>
                <w:szCs w:val="21"/>
              </w:rPr>
              <w:t>0.01%</w:t>
            </w:r>
          </w:p>
        </w:tc>
      </w:tr>
    </w:tbl>
    <w:p>
      <w:pPr>
        <w:pStyle w:val="25"/>
        <w:adjustRightInd w:val="0"/>
        <w:snapToGrid w:val="0"/>
        <w:spacing w:line="360" w:lineRule="auto"/>
        <w:ind w:left="370" w:leftChars="176" w:firstLine="420" w:firstLineChars="200"/>
        <w:rPr>
          <w:rFonts w:ascii="Times New Roman"/>
          <w:szCs w:val="24"/>
        </w:rPr>
      </w:pPr>
      <w:r>
        <w:rPr>
          <w:rFonts w:hint="eastAsia" w:ascii="Times New Roman"/>
          <w:szCs w:val="24"/>
        </w:rPr>
        <w:t>例如：某服务招标代理业务中标金额为</w:t>
      </w:r>
      <w:r>
        <w:rPr>
          <w:rFonts w:ascii="Times New Roman"/>
          <w:szCs w:val="24"/>
        </w:rPr>
        <w:t>400</w:t>
      </w:r>
      <w:r>
        <w:rPr>
          <w:rFonts w:hint="eastAsia" w:ascii="Times New Roman"/>
          <w:szCs w:val="24"/>
        </w:rPr>
        <w:t>万元，计算招标代理服务费收费额如下：</w:t>
      </w:r>
    </w:p>
    <w:p>
      <w:pPr>
        <w:pStyle w:val="25"/>
        <w:adjustRightInd w:val="0"/>
        <w:snapToGrid w:val="0"/>
        <w:spacing w:line="360" w:lineRule="auto"/>
        <w:ind w:left="420" w:hanging="420"/>
        <w:rPr>
          <w:rFonts w:ascii="Times New Roman"/>
          <w:szCs w:val="24"/>
        </w:rPr>
      </w:pPr>
      <w:r>
        <w:rPr>
          <w:rFonts w:ascii="Times New Roman"/>
          <w:szCs w:val="24"/>
        </w:rPr>
        <w:t xml:space="preserve">          </w:t>
      </w:r>
      <w:r>
        <w:rPr>
          <w:rFonts w:hint="eastAsia" w:ascii="Times New Roman"/>
          <w:szCs w:val="24"/>
        </w:rPr>
        <w:t xml:space="preserve">                   </w:t>
      </w:r>
      <w:r>
        <w:rPr>
          <w:rFonts w:ascii="Times New Roman"/>
          <w:szCs w:val="24"/>
        </w:rPr>
        <w:t xml:space="preserve"> </w:t>
      </w:r>
      <w:r>
        <w:rPr>
          <w:rFonts w:hint="eastAsia" w:ascii="Times New Roman"/>
          <w:szCs w:val="24"/>
        </w:rPr>
        <w:t xml:space="preserve"> </w:t>
      </w:r>
      <w:r>
        <w:rPr>
          <w:rFonts w:ascii="Times New Roman"/>
          <w:szCs w:val="24"/>
        </w:rPr>
        <w:t>100</w:t>
      </w:r>
      <w:r>
        <w:rPr>
          <w:rFonts w:hint="eastAsia" w:ascii="Times New Roman"/>
          <w:szCs w:val="24"/>
        </w:rPr>
        <w:t>万元×</w:t>
      </w:r>
      <w:r>
        <w:rPr>
          <w:rFonts w:ascii="Times New Roman"/>
          <w:szCs w:val="24"/>
        </w:rPr>
        <w:t>1.5</w:t>
      </w:r>
      <w:r>
        <w:rPr>
          <w:rFonts w:hint="eastAsia" w:ascii="Times New Roman"/>
          <w:szCs w:val="24"/>
        </w:rPr>
        <w:t>％＝</w:t>
      </w:r>
      <w:r>
        <w:rPr>
          <w:rFonts w:ascii="Times New Roman"/>
          <w:szCs w:val="24"/>
        </w:rPr>
        <w:t>1.5</w:t>
      </w:r>
      <w:r>
        <w:rPr>
          <w:rFonts w:hint="eastAsia" w:ascii="Times New Roman"/>
          <w:szCs w:val="24"/>
        </w:rPr>
        <w:t>万元</w:t>
      </w:r>
    </w:p>
    <w:p>
      <w:pPr>
        <w:pStyle w:val="25"/>
        <w:adjustRightInd w:val="0"/>
        <w:snapToGrid w:val="0"/>
        <w:spacing w:line="360" w:lineRule="auto"/>
        <w:ind w:left="420" w:hanging="420"/>
        <w:rPr>
          <w:rFonts w:ascii="Times New Roman"/>
          <w:szCs w:val="24"/>
        </w:rPr>
      </w:pPr>
      <w:r>
        <w:rPr>
          <w:rFonts w:ascii="Times New Roman"/>
          <w:szCs w:val="24"/>
        </w:rPr>
        <w:t xml:space="preserve">          </w:t>
      </w:r>
      <w:r>
        <w:rPr>
          <w:rFonts w:hint="eastAsia" w:ascii="Times New Roman"/>
          <w:szCs w:val="24"/>
        </w:rPr>
        <w:t xml:space="preserve">                   （</w:t>
      </w:r>
      <w:r>
        <w:rPr>
          <w:rFonts w:ascii="Times New Roman"/>
          <w:szCs w:val="24"/>
        </w:rPr>
        <w:t>400</w:t>
      </w:r>
      <w:r>
        <w:rPr>
          <w:rFonts w:hint="eastAsia" w:ascii="Times New Roman"/>
          <w:szCs w:val="24"/>
        </w:rPr>
        <w:t>－</w:t>
      </w:r>
      <w:r>
        <w:rPr>
          <w:rFonts w:ascii="Times New Roman"/>
          <w:szCs w:val="24"/>
        </w:rPr>
        <w:t>100</w:t>
      </w:r>
      <w:r>
        <w:rPr>
          <w:rFonts w:hint="eastAsia" w:ascii="Times New Roman"/>
          <w:szCs w:val="24"/>
        </w:rPr>
        <w:t>）万元×</w:t>
      </w:r>
      <w:r>
        <w:rPr>
          <w:rFonts w:ascii="Times New Roman"/>
          <w:szCs w:val="24"/>
        </w:rPr>
        <w:t>1.1</w:t>
      </w:r>
      <w:r>
        <w:rPr>
          <w:rFonts w:hint="eastAsia" w:ascii="Times New Roman"/>
          <w:szCs w:val="24"/>
        </w:rPr>
        <w:t>％＝</w:t>
      </w:r>
      <w:r>
        <w:rPr>
          <w:rFonts w:ascii="Times New Roman"/>
          <w:szCs w:val="24"/>
        </w:rPr>
        <w:t>3.3</w:t>
      </w:r>
      <w:r>
        <w:rPr>
          <w:rFonts w:hint="eastAsia" w:ascii="Times New Roman"/>
          <w:szCs w:val="24"/>
        </w:rPr>
        <w:t>万元</w:t>
      </w:r>
    </w:p>
    <w:p>
      <w:pPr>
        <w:pStyle w:val="25"/>
        <w:adjustRightInd w:val="0"/>
        <w:snapToGrid w:val="0"/>
        <w:spacing w:line="360" w:lineRule="auto"/>
        <w:ind w:left="370" w:leftChars="176" w:firstLine="1260" w:firstLineChars="600"/>
        <w:rPr>
          <w:rFonts w:ascii="Times New Roman"/>
          <w:szCs w:val="24"/>
        </w:rPr>
      </w:pPr>
      <w:r>
        <w:rPr>
          <w:rFonts w:hint="eastAsia"/>
          <w:szCs w:val="24"/>
        </w:rPr>
        <w:t>合计收费＝</w:t>
      </w:r>
      <w:r>
        <w:rPr>
          <w:szCs w:val="24"/>
        </w:rPr>
        <w:t>1.5</w:t>
      </w:r>
      <w:r>
        <w:rPr>
          <w:rFonts w:hint="eastAsia"/>
          <w:szCs w:val="24"/>
        </w:rPr>
        <w:t>＋</w:t>
      </w:r>
      <w:r>
        <w:rPr>
          <w:szCs w:val="24"/>
        </w:rPr>
        <w:t>3.3</w:t>
      </w:r>
      <w:r>
        <w:rPr>
          <w:rFonts w:hint="eastAsia"/>
          <w:szCs w:val="24"/>
        </w:rPr>
        <w:t>＝</w:t>
      </w:r>
      <w:r>
        <w:rPr>
          <w:szCs w:val="24"/>
        </w:rPr>
        <w:t>4.8</w:t>
      </w:r>
      <w:r>
        <w:rPr>
          <w:rFonts w:hint="eastAsia"/>
          <w:szCs w:val="24"/>
        </w:rPr>
        <w:t>万元</w:t>
      </w:r>
    </w:p>
    <w:p>
      <w:pPr>
        <w:numPr>
          <w:ilvl w:val="1"/>
          <w:numId w:val="28"/>
        </w:numPr>
        <w:tabs>
          <w:tab w:val="left" w:pos="0"/>
          <w:tab w:val="left" w:pos="926"/>
          <w:tab w:val="clear" w:pos="1860"/>
        </w:tabs>
        <w:snapToGrid w:val="0"/>
        <w:spacing w:line="360" w:lineRule="auto"/>
        <w:ind w:left="0" w:firstLine="0"/>
        <w:rPr>
          <w:szCs w:val="21"/>
        </w:rPr>
      </w:pPr>
      <w:r>
        <w:rPr>
          <w:rFonts w:hint="eastAsia"/>
          <w:szCs w:val="21"/>
        </w:rPr>
        <w:t>中标服务费的货币为人民币。</w:t>
      </w:r>
    </w:p>
    <w:p>
      <w:pPr>
        <w:numPr>
          <w:ilvl w:val="1"/>
          <w:numId w:val="28"/>
        </w:numPr>
        <w:tabs>
          <w:tab w:val="left" w:pos="284"/>
          <w:tab w:val="left" w:pos="926"/>
          <w:tab w:val="clear" w:pos="1860"/>
        </w:tabs>
        <w:snapToGrid w:val="0"/>
        <w:spacing w:line="360" w:lineRule="auto"/>
        <w:ind w:left="0" w:hanging="17"/>
        <w:rPr>
          <w:szCs w:val="21"/>
        </w:rPr>
      </w:pPr>
      <w:r>
        <w:rPr>
          <w:rFonts w:hint="eastAsia"/>
          <w:szCs w:val="21"/>
        </w:rPr>
        <w:t>本项目专家评委的评审费用由中标单位支付（金额以评委领取评标费签名表格为准）。</w:t>
      </w:r>
    </w:p>
    <w:p>
      <w:pPr>
        <w:tabs>
          <w:tab w:val="left" w:pos="926"/>
        </w:tabs>
        <w:snapToGrid w:val="0"/>
        <w:spacing w:line="360" w:lineRule="auto"/>
        <w:ind w:left="840" w:hanging="840" w:hangingChars="400"/>
        <w:rPr>
          <w:szCs w:val="21"/>
        </w:rPr>
      </w:pPr>
      <w:r>
        <w:rPr>
          <w:rFonts w:hint="eastAsia"/>
          <w:szCs w:val="21"/>
        </w:rPr>
        <w:t>（3）       中标服务费支付方式：由中标单位在领取中标通知书前一次性以银行转账或现金的形式支付。</w:t>
      </w:r>
    </w:p>
    <w:p>
      <w:pPr>
        <w:tabs>
          <w:tab w:val="left" w:pos="926"/>
        </w:tabs>
        <w:snapToGrid w:val="0"/>
        <w:spacing w:line="360" w:lineRule="auto"/>
        <w:rPr>
          <w:szCs w:val="21"/>
        </w:rPr>
      </w:pPr>
      <w:r>
        <w:rPr>
          <w:rFonts w:hint="eastAsia"/>
          <w:szCs w:val="21"/>
        </w:rPr>
        <w:t>（4）       中标服务费以银行划账方式按下列要求提交：</w:t>
      </w:r>
    </w:p>
    <w:p>
      <w:pPr>
        <w:spacing w:line="312" w:lineRule="auto"/>
        <w:ind w:firstLine="945" w:firstLineChars="450"/>
        <w:rPr>
          <w:szCs w:val="21"/>
        </w:rPr>
      </w:pPr>
      <w:r>
        <w:rPr>
          <w:rFonts w:hint="eastAsia"/>
          <w:szCs w:val="21"/>
        </w:rPr>
        <w:t>开户银行：中国农业银行中山市城区支行</w:t>
      </w:r>
    </w:p>
    <w:p>
      <w:pPr>
        <w:spacing w:line="312" w:lineRule="auto"/>
        <w:ind w:firstLine="945" w:firstLineChars="450"/>
        <w:rPr>
          <w:szCs w:val="21"/>
        </w:rPr>
      </w:pPr>
      <w:r>
        <w:rPr>
          <w:rFonts w:hint="eastAsia"/>
          <w:szCs w:val="21"/>
        </w:rPr>
        <w:t>银行账号：</w:t>
      </w:r>
      <w:r>
        <w:rPr>
          <w:szCs w:val="21"/>
        </w:rPr>
        <w:t>443</w:t>
      </w:r>
      <w:r>
        <w:rPr>
          <w:rFonts w:hint="eastAsia"/>
          <w:szCs w:val="21"/>
        </w:rPr>
        <w:t xml:space="preserve"> </w:t>
      </w:r>
      <w:r>
        <w:rPr>
          <w:szCs w:val="21"/>
        </w:rPr>
        <w:t>106</w:t>
      </w:r>
      <w:r>
        <w:rPr>
          <w:rFonts w:hint="eastAsia"/>
          <w:szCs w:val="21"/>
        </w:rPr>
        <w:t xml:space="preserve"> </w:t>
      </w:r>
      <w:r>
        <w:rPr>
          <w:szCs w:val="21"/>
        </w:rPr>
        <w:t>010</w:t>
      </w:r>
      <w:r>
        <w:rPr>
          <w:rFonts w:hint="eastAsia"/>
          <w:szCs w:val="21"/>
        </w:rPr>
        <w:t xml:space="preserve"> </w:t>
      </w:r>
      <w:r>
        <w:rPr>
          <w:szCs w:val="21"/>
        </w:rPr>
        <w:t>400</w:t>
      </w:r>
      <w:r>
        <w:rPr>
          <w:rFonts w:hint="eastAsia"/>
          <w:szCs w:val="21"/>
        </w:rPr>
        <w:t xml:space="preserve"> </w:t>
      </w:r>
      <w:r>
        <w:rPr>
          <w:szCs w:val="21"/>
        </w:rPr>
        <w:t>077</w:t>
      </w:r>
      <w:r>
        <w:rPr>
          <w:rFonts w:hint="eastAsia"/>
          <w:szCs w:val="21"/>
        </w:rPr>
        <w:t xml:space="preserve"> </w:t>
      </w:r>
      <w:r>
        <w:rPr>
          <w:szCs w:val="21"/>
        </w:rPr>
        <w:t>18</w:t>
      </w:r>
    </w:p>
    <w:p>
      <w:pPr>
        <w:snapToGrid w:val="0"/>
        <w:spacing w:line="360" w:lineRule="auto"/>
        <w:ind w:firstLine="945" w:firstLineChars="450"/>
        <w:rPr>
          <w:rFonts w:hint="eastAsia" w:eastAsia="宋体"/>
          <w:b/>
          <w:szCs w:val="21"/>
          <w:lang w:eastAsia="zh-CN"/>
        </w:rPr>
      </w:pPr>
      <w:r>
        <w:rPr>
          <w:rFonts w:hint="eastAsia"/>
          <w:szCs w:val="21"/>
        </w:rPr>
        <w:t>账户名称：</w:t>
      </w:r>
      <w:r>
        <w:rPr>
          <w:rFonts w:hint="eastAsia"/>
          <w:kern w:val="28"/>
          <w:szCs w:val="21"/>
          <w:lang w:eastAsia="zh-CN"/>
        </w:rPr>
        <w:t>华联世纪工程咨询股份有限公司中山分公司</w:t>
      </w:r>
    </w:p>
    <w:p>
      <w:pPr>
        <w:tabs>
          <w:tab w:val="left" w:pos="926"/>
        </w:tabs>
        <w:snapToGrid w:val="0"/>
        <w:spacing w:line="460" w:lineRule="exact"/>
        <w:ind w:left="840" w:hanging="840" w:hangingChars="400"/>
        <w:rPr>
          <w:szCs w:val="21"/>
        </w:rPr>
      </w:pPr>
      <w:r>
        <w:rPr>
          <w:rFonts w:hint="eastAsia"/>
          <w:szCs w:val="21"/>
        </w:rPr>
        <w:t>（5）      中标服务费支付时间：中标服务费必须在中标人领取《中标通知书》时一次性付清，如果中标人未能按时交纳中标服务费，采购代理机构/采购人保留取消其中标资格并追究其法律责任的权利。</w:t>
      </w:r>
    </w:p>
    <w:p>
      <w:pPr>
        <w:tabs>
          <w:tab w:val="left" w:pos="848"/>
        </w:tabs>
        <w:snapToGrid w:val="0"/>
        <w:spacing w:line="460" w:lineRule="exact"/>
        <w:rPr>
          <w:b/>
          <w:sz w:val="24"/>
        </w:rPr>
      </w:pPr>
      <w:r>
        <w:rPr>
          <w:rFonts w:hint="eastAsia"/>
          <w:szCs w:val="21"/>
        </w:rPr>
        <w:t>（6）      中标服务费不在投标报价中单列。</w:t>
      </w:r>
    </w:p>
    <w:p>
      <w:pPr>
        <w:numPr>
          <w:ilvl w:val="0"/>
          <w:numId w:val="17"/>
        </w:numPr>
        <w:tabs>
          <w:tab w:val="left" w:pos="851"/>
        </w:tabs>
        <w:snapToGrid w:val="0"/>
        <w:spacing w:line="460" w:lineRule="exact"/>
        <w:jc w:val="both"/>
        <w:rPr>
          <w:b/>
          <w:sz w:val="24"/>
        </w:rPr>
      </w:pPr>
      <w:r>
        <w:rPr>
          <w:b/>
          <w:sz w:val="24"/>
        </w:rPr>
        <w:t>招标文件的解释权</w:t>
      </w:r>
    </w:p>
    <w:p>
      <w:pPr>
        <w:snapToGrid w:val="0"/>
        <w:spacing w:line="460" w:lineRule="exact"/>
        <w:ind w:firstLine="846" w:firstLineChars="403"/>
        <w:jc w:val="both"/>
        <w:rPr>
          <w:b/>
          <w:sz w:val="24"/>
        </w:rPr>
      </w:pPr>
      <w:r>
        <w:rPr>
          <w:szCs w:val="21"/>
        </w:rPr>
        <w:t>本招标文件的解释权归</w:t>
      </w:r>
      <w:r>
        <w:rPr>
          <w:rFonts w:hint="eastAsia"/>
          <w:szCs w:val="21"/>
          <w:lang w:eastAsia="zh-CN"/>
        </w:rPr>
        <w:t>华联世纪工程咨询股份有限公司中山分公司</w:t>
      </w:r>
      <w:r>
        <w:rPr>
          <w:szCs w:val="21"/>
        </w:rPr>
        <w:t>所有。</w:t>
      </w:r>
    </w:p>
    <w:p>
      <w:pPr>
        <w:snapToGrid w:val="0"/>
        <w:spacing w:line="460" w:lineRule="exact"/>
        <w:rPr>
          <w:b/>
          <w:sz w:val="24"/>
        </w:rPr>
        <w:sectPr>
          <w:footerReference r:id="rId5" w:type="first"/>
          <w:headerReference r:id="rId3" w:type="default"/>
          <w:footerReference r:id="rId4" w:type="default"/>
          <w:pgSz w:w="11907" w:h="16840"/>
          <w:pgMar w:top="1417" w:right="1417" w:bottom="1417" w:left="1417" w:header="794" w:footer="794" w:gutter="0"/>
          <w:cols w:space="0" w:num="1"/>
          <w:titlePg/>
          <w:rtlGutter w:val="0"/>
          <w:docGrid w:linePitch="286" w:charSpace="0"/>
        </w:sectPr>
      </w:pPr>
    </w:p>
    <w:p>
      <w:pPr>
        <w:ind w:right="191" w:rightChars="91"/>
        <w:rPr>
          <w:szCs w:val="21"/>
        </w:rPr>
      </w:pPr>
      <w:r>
        <w:rPr>
          <w:szCs w:val="21"/>
        </w:rPr>
        <w:t>附表3-1：</w:t>
      </w:r>
    </w:p>
    <w:p>
      <w:pPr>
        <w:spacing w:line="360" w:lineRule="auto"/>
        <w:ind w:right="191" w:rightChars="91"/>
        <w:jc w:val="center"/>
        <w:rPr>
          <w:b/>
          <w:bCs/>
          <w:sz w:val="32"/>
          <w:szCs w:val="32"/>
          <w:u w:val="single"/>
        </w:rPr>
      </w:pPr>
      <w:r>
        <w:rPr>
          <w:b/>
          <w:bCs/>
          <w:sz w:val="32"/>
          <w:szCs w:val="32"/>
          <w:u w:val="single"/>
        </w:rPr>
        <w:t>初 步 审 查 表</w:t>
      </w:r>
    </w:p>
    <w:tbl>
      <w:tblPr>
        <w:tblStyle w:val="55"/>
        <w:tblW w:w="141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
        <w:gridCol w:w="7005"/>
        <w:gridCol w:w="2165"/>
        <w:gridCol w:w="2165"/>
        <w:gridCol w:w="2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660" w:type="dxa"/>
            <w:tcBorders>
              <w:top w:val="single" w:color="auto" w:sz="8" w:space="0"/>
              <w:left w:val="single" w:color="auto" w:sz="8" w:space="0"/>
              <w:bottom w:val="single" w:color="auto" w:sz="4" w:space="0"/>
              <w:right w:val="single" w:color="auto" w:sz="4" w:space="0"/>
            </w:tcBorders>
            <w:vAlign w:val="center"/>
          </w:tcPr>
          <w:p>
            <w:pPr>
              <w:rPr>
                <w:bCs/>
                <w:color w:val="000000"/>
              </w:rPr>
            </w:pPr>
            <w:r>
              <w:rPr>
                <w:bCs/>
                <w:color w:val="000000"/>
              </w:rPr>
              <w:t>　</w:t>
            </w:r>
          </w:p>
        </w:tc>
        <w:tc>
          <w:tcPr>
            <w:tcW w:w="7005" w:type="dxa"/>
            <w:tcBorders>
              <w:top w:val="single" w:color="auto" w:sz="8" w:space="0"/>
              <w:left w:val="nil"/>
              <w:bottom w:val="single" w:color="auto" w:sz="4" w:space="0"/>
              <w:right w:val="single" w:color="auto" w:sz="4" w:space="0"/>
            </w:tcBorders>
            <w:vAlign w:val="center"/>
          </w:tcPr>
          <w:p>
            <w:pPr>
              <w:jc w:val="center"/>
              <w:rPr>
                <w:color w:val="000000"/>
              </w:rPr>
            </w:pPr>
            <w:r>
              <w:rPr>
                <w:color w:val="000000"/>
              </w:rPr>
              <w:t>投标单位序号</w:t>
            </w:r>
          </w:p>
        </w:tc>
        <w:tc>
          <w:tcPr>
            <w:tcW w:w="2165" w:type="dxa"/>
            <w:tcBorders>
              <w:top w:val="single" w:color="auto" w:sz="8" w:space="0"/>
              <w:left w:val="nil"/>
              <w:bottom w:val="single" w:color="auto" w:sz="4" w:space="0"/>
              <w:right w:val="single" w:color="auto" w:sz="4" w:space="0"/>
            </w:tcBorders>
            <w:vAlign w:val="center"/>
          </w:tcPr>
          <w:p>
            <w:pPr>
              <w:jc w:val="center"/>
              <w:rPr>
                <w:color w:val="000000"/>
              </w:rPr>
            </w:pPr>
            <w:r>
              <w:rPr>
                <w:color w:val="000000"/>
              </w:rPr>
              <w:t>1</w:t>
            </w:r>
          </w:p>
        </w:tc>
        <w:tc>
          <w:tcPr>
            <w:tcW w:w="2165" w:type="dxa"/>
            <w:tcBorders>
              <w:top w:val="single" w:color="auto" w:sz="8" w:space="0"/>
              <w:left w:val="nil"/>
              <w:bottom w:val="single" w:color="auto" w:sz="4" w:space="0"/>
              <w:right w:val="single" w:color="auto" w:sz="4" w:space="0"/>
            </w:tcBorders>
            <w:vAlign w:val="center"/>
          </w:tcPr>
          <w:p>
            <w:pPr>
              <w:jc w:val="center"/>
              <w:rPr>
                <w:color w:val="000000"/>
              </w:rPr>
            </w:pPr>
            <w:r>
              <w:rPr>
                <w:color w:val="000000"/>
              </w:rPr>
              <w:t>2</w:t>
            </w:r>
          </w:p>
        </w:tc>
        <w:tc>
          <w:tcPr>
            <w:tcW w:w="2165" w:type="dxa"/>
            <w:tcBorders>
              <w:top w:val="single" w:color="auto" w:sz="8" w:space="0"/>
              <w:left w:val="nil"/>
              <w:bottom w:val="single" w:color="auto" w:sz="4" w:space="0"/>
              <w:right w:val="single" w:color="auto" w:sz="8" w:space="0"/>
            </w:tcBorders>
            <w:vAlign w:val="center"/>
          </w:tcPr>
          <w:p>
            <w:pPr>
              <w:jc w:val="center"/>
              <w:rPr>
                <w:color w:val="000000"/>
              </w:rPr>
            </w:pPr>
            <w:r>
              <w:rPr>
                <w:color w:val="00000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660" w:type="dxa"/>
            <w:vMerge w:val="restart"/>
            <w:tcBorders>
              <w:top w:val="nil"/>
              <w:left w:val="single" w:color="auto" w:sz="8" w:space="0"/>
              <w:bottom w:val="single" w:color="000000" w:sz="4" w:space="0"/>
              <w:right w:val="single" w:color="auto" w:sz="4" w:space="0"/>
            </w:tcBorders>
            <w:vAlign w:val="center"/>
          </w:tcPr>
          <w:p>
            <w:pPr>
              <w:jc w:val="center"/>
              <w:rPr>
                <w:color w:val="000000"/>
                <w:sz w:val="18"/>
                <w:szCs w:val="18"/>
              </w:rPr>
            </w:pPr>
            <w:r>
              <w:rPr>
                <w:color w:val="000000"/>
                <w:sz w:val="18"/>
                <w:szCs w:val="18"/>
              </w:rPr>
              <w:t>序号</w:t>
            </w:r>
          </w:p>
        </w:tc>
        <w:tc>
          <w:tcPr>
            <w:tcW w:w="7005" w:type="dxa"/>
            <w:vMerge w:val="restart"/>
            <w:tcBorders>
              <w:top w:val="nil"/>
              <w:left w:val="nil"/>
              <w:bottom w:val="nil"/>
              <w:right w:val="single" w:color="auto" w:sz="4" w:space="0"/>
              <w:tl2br w:val="single" w:color="auto" w:sz="4" w:space="0"/>
            </w:tcBorders>
            <w:vAlign w:val="top"/>
          </w:tcPr>
          <w:p>
            <w:pPr>
              <w:ind w:firstLine="3600" w:firstLineChars="2000"/>
              <w:jc w:val="both"/>
              <w:rPr>
                <w:color w:val="000000"/>
                <w:sz w:val="18"/>
                <w:szCs w:val="18"/>
              </w:rPr>
            </w:pPr>
            <w:r>
              <w:rPr>
                <w:color w:val="000000"/>
                <w:sz w:val="18"/>
                <w:szCs w:val="18"/>
              </w:rPr>
              <w:t xml:space="preserve">投标单位     </w:t>
            </w:r>
          </w:p>
          <w:p>
            <w:pPr>
              <w:jc w:val="both"/>
              <w:rPr>
                <w:color w:val="000000"/>
                <w:sz w:val="18"/>
                <w:szCs w:val="18"/>
              </w:rPr>
            </w:pPr>
          </w:p>
          <w:p>
            <w:pPr>
              <w:jc w:val="both"/>
              <w:rPr>
                <w:color w:val="000000"/>
                <w:sz w:val="18"/>
                <w:szCs w:val="18"/>
              </w:rPr>
            </w:pPr>
            <w:r>
              <w:rPr>
                <w:color w:val="000000"/>
                <w:sz w:val="18"/>
                <w:szCs w:val="18"/>
              </w:rPr>
              <w:t>审查内容</w:t>
            </w:r>
          </w:p>
        </w:tc>
        <w:tc>
          <w:tcPr>
            <w:tcW w:w="2165" w:type="dxa"/>
            <w:tcBorders>
              <w:top w:val="nil"/>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投标单位一</w:t>
            </w:r>
          </w:p>
        </w:tc>
        <w:tc>
          <w:tcPr>
            <w:tcW w:w="2165" w:type="dxa"/>
            <w:tcBorders>
              <w:top w:val="nil"/>
              <w:left w:val="nil"/>
              <w:bottom w:val="single" w:color="auto" w:sz="4" w:space="0"/>
              <w:right w:val="single" w:color="auto" w:sz="4" w:space="0"/>
            </w:tcBorders>
            <w:vAlign w:val="center"/>
          </w:tcPr>
          <w:p>
            <w:pPr>
              <w:jc w:val="center"/>
              <w:rPr>
                <w:color w:val="000000"/>
                <w:sz w:val="18"/>
                <w:szCs w:val="18"/>
              </w:rPr>
            </w:pPr>
            <w:r>
              <w:rPr>
                <w:color w:val="000000"/>
                <w:sz w:val="18"/>
                <w:szCs w:val="18"/>
              </w:rPr>
              <w:t>投标单位二</w:t>
            </w:r>
          </w:p>
        </w:tc>
        <w:tc>
          <w:tcPr>
            <w:tcW w:w="2165" w:type="dxa"/>
            <w:tcBorders>
              <w:top w:val="nil"/>
              <w:left w:val="nil"/>
              <w:bottom w:val="single" w:color="auto" w:sz="4" w:space="0"/>
              <w:right w:val="single" w:color="auto" w:sz="8" w:space="0"/>
            </w:tcBorders>
            <w:vAlign w:val="center"/>
          </w:tcPr>
          <w:p>
            <w:pPr>
              <w:jc w:val="center"/>
              <w:rPr>
                <w:color w:val="000000"/>
                <w:sz w:val="18"/>
                <w:szCs w:val="18"/>
              </w:rPr>
            </w:pPr>
            <w:r>
              <w:rPr>
                <w:color w:val="000000"/>
                <w:sz w:val="18"/>
                <w:szCs w:val="18"/>
              </w:rPr>
              <w:t>投标单位三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660" w:type="dxa"/>
            <w:vMerge w:val="continue"/>
            <w:tcBorders>
              <w:top w:val="nil"/>
              <w:left w:val="single" w:color="auto" w:sz="8" w:space="0"/>
              <w:bottom w:val="single" w:color="000000" w:sz="4" w:space="0"/>
              <w:right w:val="single" w:color="auto" w:sz="4" w:space="0"/>
            </w:tcBorders>
            <w:vAlign w:val="center"/>
          </w:tcPr>
          <w:p>
            <w:pPr>
              <w:rPr>
                <w:color w:val="000000"/>
              </w:rPr>
            </w:pPr>
          </w:p>
        </w:tc>
        <w:tc>
          <w:tcPr>
            <w:tcW w:w="7005" w:type="dxa"/>
            <w:vMerge w:val="continue"/>
            <w:tcBorders>
              <w:top w:val="nil"/>
              <w:left w:val="nil"/>
              <w:bottom w:val="nil"/>
              <w:right w:val="single" w:color="auto" w:sz="4" w:space="0"/>
            </w:tcBorders>
            <w:vAlign w:val="center"/>
          </w:tcPr>
          <w:p>
            <w:pPr>
              <w:rPr>
                <w:color w:val="000000"/>
              </w:rPr>
            </w:pPr>
          </w:p>
        </w:tc>
        <w:tc>
          <w:tcPr>
            <w:tcW w:w="2165" w:type="dxa"/>
            <w:tcBorders>
              <w:top w:val="nil"/>
              <w:left w:val="single" w:color="auto" w:sz="4" w:space="0"/>
              <w:bottom w:val="single" w:color="auto" w:sz="4" w:space="0"/>
              <w:right w:val="single" w:color="auto" w:sz="4" w:space="0"/>
            </w:tcBorders>
            <w:vAlign w:val="center"/>
          </w:tcPr>
          <w:p>
            <w:pPr>
              <w:jc w:val="center"/>
              <w:rPr>
                <w:color w:val="000000"/>
                <w:sz w:val="20"/>
              </w:rPr>
            </w:pPr>
            <w:r>
              <w:rPr>
                <w:color w:val="000000"/>
                <w:sz w:val="20"/>
              </w:rPr>
              <w:t>检查情况</w:t>
            </w:r>
          </w:p>
        </w:tc>
        <w:tc>
          <w:tcPr>
            <w:tcW w:w="2165" w:type="dxa"/>
            <w:tcBorders>
              <w:top w:val="nil"/>
              <w:left w:val="nil"/>
              <w:bottom w:val="single" w:color="auto" w:sz="4" w:space="0"/>
              <w:right w:val="single" w:color="auto" w:sz="4" w:space="0"/>
            </w:tcBorders>
            <w:vAlign w:val="center"/>
          </w:tcPr>
          <w:p>
            <w:pPr>
              <w:jc w:val="center"/>
              <w:rPr>
                <w:color w:val="000000"/>
                <w:sz w:val="20"/>
              </w:rPr>
            </w:pPr>
            <w:r>
              <w:rPr>
                <w:color w:val="000000"/>
                <w:sz w:val="20"/>
              </w:rPr>
              <w:t>检查情况</w:t>
            </w:r>
          </w:p>
        </w:tc>
        <w:tc>
          <w:tcPr>
            <w:tcW w:w="2165" w:type="dxa"/>
            <w:tcBorders>
              <w:top w:val="nil"/>
              <w:left w:val="nil"/>
              <w:bottom w:val="single" w:color="auto" w:sz="4" w:space="0"/>
              <w:right w:val="single" w:color="auto" w:sz="8" w:space="0"/>
            </w:tcBorders>
            <w:vAlign w:val="center"/>
          </w:tcPr>
          <w:p>
            <w:pPr>
              <w:jc w:val="center"/>
              <w:rPr>
                <w:color w:val="000000"/>
                <w:sz w:val="20"/>
              </w:rPr>
            </w:pPr>
            <w:r>
              <w:rPr>
                <w:color w:val="000000"/>
                <w:sz w:val="20"/>
              </w:rPr>
              <w:t>检查情况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660" w:type="dxa"/>
            <w:tcBorders>
              <w:top w:val="nil"/>
              <w:left w:val="single" w:color="auto" w:sz="8" w:space="0"/>
              <w:bottom w:val="single" w:color="auto" w:sz="4" w:space="0"/>
              <w:right w:val="nil"/>
            </w:tcBorders>
            <w:vAlign w:val="center"/>
          </w:tcPr>
          <w:p>
            <w:pPr>
              <w:jc w:val="center"/>
              <w:rPr>
                <w:color w:val="000000"/>
              </w:rPr>
            </w:pPr>
            <w:r>
              <w:rPr>
                <w:color w:val="000000"/>
              </w:rPr>
              <w:t>1</w:t>
            </w:r>
          </w:p>
        </w:tc>
        <w:tc>
          <w:tcPr>
            <w:tcW w:w="7005" w:type="dxa"/>
            <w:tcBorders>
              <w:top w:val="single" w:color="auto" w:sz="4" w:space="0"/>
              <w:left w:val="single" w:color="auto" w:sz="4" w:space="0"/>
              <w:bottom w:val="nil"/>
              <w:right w:val="single" w:color="auto" w:sz="4" w:space="0"/>
            </w:tcBorders>
            <w:vAlign w:val="center"/>
          </w:tcPr>
          <w:p>
            <w:pPr>
              <w:rPr>
                <w:sz w:val="18"/>
                <w:szCs w:val="18"/>
              </w:rPr>
            </w:pPr>
            <w:r>
              <w:rPr>
                <w:sz w:val="18"/>
                <w:szCs w:val="18"/>
              </w:rPr>
              <w:t>投标人已按招标文件要求交纳投标保证金</w:t>
            </w:r>
          </w:p>
        </w:tc>
        <w:tc>
          <w:tcPr>
            <w:tcW w:w="2165" w:type="dxa"/>
            <w:tcBorders>
              <w:top w:val="nil"/>
              <w:left w:val="nil"/>
              <w:bottom w:val="single" w:color="auto" w:sz="4" w:space="0"/>
              <w:right w:val="single" w:color="auto" w:sz="4" w:space="0"/>
            </w:tcBorders>
            <w:vAlign w:val="center"/>
          </w:tcPr>
          <w:p>
            <w:pPr>
              <w:jc w:val="center"/>
              <w:rPr>
                <w:color w:val="000000"/>
                <w:sz w:val="20"/>
              </w:rPr>
            </w:pPr>
          </w:p>
        </w:tc>
        <w:tc>
          <w:tcPr>
            <w:tcW w:w="2165" w:type="dxa"/>
            <w:tcBorders>
              <w:top w:val="nil"/>
              <w:left w:val="nil"/>
              <w:bottom w:val="single" w:color="auto" w:sz="4" w:space="0"/>
              <w:right w:val="single" w:color="auto" w:sz="4" w:space="0"/>
            </w:tcBorders>
            <w:vAlign w:val="center"/>
          </w:tcPr>
          <w:p>
            <w:pPr>
              <w:jc w:val="center"/>
              <w:rPr>
                <w:color w:val="000000"/>
                <w:sz w:val="20"/>
              </w:rPr>
            </w:pPr>
          </w:p>
        </w:tc>
        <w:tc>
          <w:tcPr>
            <w:tcW w:w="2165" w:type="dxa"/>
            <w:tcBorders>
              <w:top w:val="nil"/>
              <w:left w:val="nil"/>
              <w:bottom w:val="single" w:color="auto" w:sz="4" w:space="0"/>
              <w:right w:val="single" w:color="auto" w:sz="8" w:space="0"/>
            </w:tcBorders>
            <w:vAlign w:val="center"/>
          </w:tcPr>
          <w:p>
            <w:pPr>
              <w:jc w:val="center"/>
              <w:rPr>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2</w:t>
            </w:r>
          </w:p>
        </w:tc>
        <w:tc>
          <w:tcPr>
            <w:tcW w:w="700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投标人符合合格投标人的基本条件（含资格证明文件已提供或符合招标文件要求）</w:t>
            </w: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3</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投标文件有法定代表人或其授权代表签字（或盖私章），或签字人有法定代表人有效授权，签字盖章符合招标文件要求</w:t>
            </w: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4</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投标函及投标有效期限符合要求</w:t>
            </w:r>
          </w:p>
        </w:tc>
        <w:tc>
          <w:tcPr>
            <w:tcW w:w="2165" w:type="dxa"/>
            <w:tcBorders>
              <w:top w:val="nil"/>
              <w:left w:val="nil"/>
              <w:bottom w:val="single" w:color="auto" w:sz="4" w:space="0"/>
              <w:right w:val="single" w:color="auto" w:sz="4" w:space="0"/>
            </w:tcBorders>
            <w:vAlign w:val="center"/>
          </w:tcPr>
          <w:p>
            <w:pPr>
              <w:jc w:val="center"/>
              <w:rPr>
                <w:color w:val="000000"/>
                <w:sz w:val="18"/>
                <w:szCs w:val="18"/>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5</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投标报价固定、无将项目内容拆开投标或投标方案是唯一</w:t>
            </w:r>
          </w:p>
        </w:tc>
        <w:tc>
          <w:tcPr>
            <w:tcW w:w="2165" w:type="dxa"/>
            <w:tcBorders>
              <w:top w:val="nil"/>
              <w:left w:val="nil"/>
              <w:bottom w:val="single" w:color="auto" w:sz="4" w:space="0"/>
              <w:right w:val="single" w:color="auto" w:sz="4" w:space="0"/>
            </w:tcBorders>
            <w:vAlign w:val="center"/>
          </w:tcPr>
          <w:p>
            <w:pPr>
              <w:jc w:val="center"/>
              <w:rPr>
                <w:color w:val="000000"/>
                <w:sz w:val="18"/>
                <w:szCs w:val="18"/>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660" w:type="dxa"/>
            <w:tcBorders>
              <w:top w:val="single" w:color="auto" w:sz="4" w:space="0"/>
              <w:left w:val="single" w:color="auto" w:sz="8" w:space="0"/>
              <w:bottom w:val="single" w:color="auto" w:sz="4" w:space="0"/>
              <w:right w:val="nil"/>
            </w:tcBorders>
            <w:vAlign w:val="center"/>
          </w:tcPr>
          <w:p>
            <w:pPr>
              <w:jc w:val="center"/>
              <w:rPr>
                <w:color w:val="000000"/>
                <w:sz w:val="20"/>
              </w:rPr>
            </w:pPr>
            <w:r>
              <w:rPr>
                <w:color w:val="000000"/>
                <w:sz w:val="20"/>
              </w:rPr>
              <w:t>6</w:t>
            </w:r>
          </w:p>
        </w:tc>
        <w:tc>
          <w:tcPr>
            <w:tcW w:w="700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最终报价不超过最高报价限价</w:t>
            </w:r>
          </w:p>
        </w:tc>
        <w:tc>
          <w:tcPr>
            <w:tcW w:w="2165" w:type="dxa"/>
            <w:tcBorders>
              <w:top w:val="single" w:color="auto" w:sz="4" w:space="0"/>
              <w:left w:val="nil"/>
              <w:bottom w:val="single" w:color="auto" w:sz="4" w:space="0"/>
              <w:right w:val="single" w:color="auto" w:sz="4" w:space="0"/>
            </w:tcBorders>
            <w:vAlign w:val="center"/>
          </w:tcPr>
          <w:p>
            <w:pPr>
              <w:jc w:val="center"/>
              <w:rPr>
                <w:color w:val="000000"/>
                <w:sz w:val="18"/>
                <w:szCs w:val="18"/>
              </w:rPr>
            </w:pPr>
          </w:p>
        </w:tc>
        <w:tc>
          <w:tcPr>
            <w:tcW w:w="2165" w:type="dxa"/>
            <w:tcBorders>
              <w:top w:val="single" w:color="auto" w:sz="4" w:space="0"/>
              <w:left w:val="nil"/>
              <w:bottom w:val="single" w:color="auto" w:sz="4" w:space="0"/>
              <w:right w:val="single" w:color="auto" w:sz="4" w:space="0"/>
            </w:tcBorders>
            <w:vAlign w:val="center"/>
          </w:tcPr>
          <w:p>
            <w:pPr>
              <w:jc w:val="center"/>
              <w:rPr>
                <w:color w:val="000000"/>
              </w:rPr>
            </w:pPr>
          </w:p>
        </w:tc>
        <w:tc>
          <w:tcPr>
            <w:tcW w:w="2165" w:type="dxa"/>
            <w:tcBorders>
              <w:top w:val="single" w:color="auto" w:sz="4" w:space="0"/>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7</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投标文件商务、技术响应与事实符合或无虚假投标</w:t>
            </w:r>
          </w:p>
        </w:tc>
        <w:tc>
          <w:tcPr>
            <w:tcW w:w="2165" w:type="dxa"/>
            <w:tcBorders>
              <w:top w:val="nil"/>
              <w:left w:val="nil"/>
              <w:bottom w:val="single" w:color="auto" w:sz="4" w:space="0"/>
              <w:right w:val="single" w:color="auto" w:sz="4" w:space="0"/>
            </w:tcBorders>
            <w:vAlign w:val="center"/>
          </w:tcPr>
          <w:p>
            <w:pPr>
              <w:jc w:val="center"/>
              <w:rPr>
                <w:color w:val="000000"/>
                <w:sz w:val="18"/>
                <w:szCs w:val="18"/>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8</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响应招标文件提出的实质性要求和条件（标注</w:t>
            </w:r>
            <w:r>
              <w:rPr>
                <w:rFonts w:hint="eastAsia" w:hAnsi="宋体" w:cs="宋体"/>
                <w:sz w:val="18"/>
                <w:szCs w:val="18"/>
              </w:rPr>
              <w:t>★</w:t>
            </w:r>
            <w:r>
              <w:rPr>
                <w:sz w:val="18"/>
                <w:szCs w:val="18"/>
              </w:rPr>
              <w:t>的条款）</w:t>
            </w:r>
          </w:p>
        </w:tc>
        <w:tc>
          <w:tcPr>
            <w:tcW w:w="2165" w:type="dxa"/>
            <w:tcBorders>
              <w:top w:val="nil"/>
              <w:left w:val="nil"/>
              <w:bottom w:val="nil"/>
              <w:right w:val="nil"/>
            </w:tcBorders>
            <w:vAlign w:val="center"/>
          </w:tcPr>
          <w:p>
            <w:pPr>
              <w:jc w:val="center"/>
              <w:rPr>
                <w:color w:val="000000"/>
              </w:rPr>
            </w:pPr>
          </w:p>
        </w:tc>
        <w:tc>
          <w:tcPr>
            <w:tcW w:w="2165" w:type="dxa"/>
            <w:tcBorders>
              <w:top w:val="nil"/>
              <w:left w:val="single" w:color="auto" w:sz="4" w:space="0"/>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9</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供货满足招标文件要求</w:t>
            </w:r>
          </w:p>
        </w:tc>
        <w:tc>
          <w:tcPr>
            <w:tcW w:w="2165" w:type="dxa"/>
            <w:tcBorders>
              <w:top w:val="single" w:color="auto" w:sz="4" w:space="0"/>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10</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投标文件中未附有招标人不能接受的条件</w:t>
            </w: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11</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符合法律、法规和招标文件中规定的其他实质性要求</w:t>
            </w: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4" w:hRule="atLeast"/>
        </w:trPr>
        <w:tc>
          <w:tcPr>
            <w:tcW w:w="660" w:type="dxa"/>
            <w:tcBorders>
              <w:top w:val="nil"/>
              <w:left w:val="single" w:color="auto" w:sz="8" w:space="0"/>
              <w:bottom w:val="single" w:color="auto" w:sz="4" w:space="0"/>
              <w:right w:val="single" w:color="auto" w:sz="4" w:space="0"/>
            </w:tcBorders>
            <w:vAlign w:val="center"/>
          </w:tcPr>
          <w:p>
            <w:pPr>
              <w:jc w:val="center"/>
              <w:rPr>
                <w:color w:val="000000"/>
                <w:szCs w:val="21"/>
              </w:rPr>
            </w:pPr>
            <w:r>
              <w:rPr>
                <w:color w:val="000000"/>
                <w:szCs w:val="21"/>
              </w:rPr>
              <w:t>　</w:t>
            </w:r>
          </w:p>
        </w:tc>
        <w:tc>
          <w:tcPr>
            <w:tcW w:w="7005" w:type="dxa"/>
            <w:tcBorders>
              <w:top w:val="nil"/>
              <w:left w:val="nil"/>
              <w:bottom w:val="single" w:color="auto" w:sz="4" w:space="0"/>
              <w:right w:val="single" w:color="auto" w:sz="4" w:space="0"/>
            </w:tcBorders>
            <w:vAlign w:val="center"/>
          </w:tcPr>
          <w:p>
            <w:pPr>
              <w:jc w:val="center"/>
              <w:rPr>
                <w:color w:val="000000"/>
                <w:szCs w:val="21"/>
              </w:rPr>
            </w:pPr>
            <w:r>
              <w:rPr>
                <w:color w:val="000000"/>
                <w:szCs w:val="21"/>
              </w:rPr>
              <w:t>结     论</w:t>
            </w:r>
          </w:p>
        </w:tc>
        <w:tc>
          <w:tcPr>
            <w:tcW w:w="2165" w:type="dxa"/>
            <w:tcBorders>
              <w:top w:val="nil"/>
              <w:left w:val="nil"/>
              <w:bottom w:val="single" w:color="auto" w:sz="4" w:space="0"/>
              <w:right w:val="single" w:color="auto" w:sz="4" w:space="0"/>
            </w:tcBorders>
            <w:vAlign w:val="center"/>
          </w:tcPr>
          <w:p>
            <w:pPr>
              <w:jc w:val="center"/>
              <w:rPr>
                <w:color w:val="000000"/>
                <w:szCs w:val="21"/>
              </w:rPr>
            </w:pPr>
          </w:p>
        </w:tc>
        <w:tc>
          <w:tcPr>
            <w:tcW w:w="2165" w:type="dxa"/>
            <w:tcBorders>
              <w:top w:val="nil"/>
              <w:left w:val="nil"/>
              <w:bottom w:val="single" w:color="auto" w:sz="4" w:space="0"/>
              <w:right w:val="single" w:color="auto" w:sz="4" w:space="0"/>
            </w:tcBorders>
            <w:vAlign w:val="center"/>
          </w:tcPr>
          <w:p>
            <w:pPr>
              <w:jc w:val="center"/>
              <w:rPr>
                <w:color w:val="000000"/>
                <w:szCs w:val="21"/>
              </w:rPr>
            </w:pPr>
          </w:p>
        </w:tc>
        <w:tc>
          <w:tcPr>
            <w:tcW w:w="2165" w:type="dxa"/>
            <w:tcBorders>
              <w:top w:val="nil"/>
              <w:left w:val="nil"/>
              <w:bottom w:val="single" w:color="auto" w:sz="4" w:space="0"/>
              <w:right w:val="single" w:color="auto" w:sz="8" w:space="0"/>
            </w:tcBorders>
            <w:vAlign w:val="center"/>
          </w:tcPr>
          <w:p>
            <w:pPr>
              <w:jc w:val="center"/>
              <w:rPr>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7665" w:type="dxa"/>
            <w:gridSpan w:val="2"/>
            <w:tcBorders>
              <w:top w:val="single" w:color="auto" w:sz="4" w:space="0"/>
              <w:left w:val="single" w:color="auto" w:sz="8" w:space="0"/>
              <w:bottom w:val="single" w:color="auto" w:sz="8" w:space="0"/>
              <w:right w:val="single" w:color="auto" w:sz="4" w:space="0"/>
            </w:tcBorders>
            <w:vAlign w:val="center"/>
          </w:tcPr>
          <w:p>
            <w:pPr>
              <w:jc w:val="center"/>
              <w:rPr>
                <w:color w:val="000000"/>
                <w:szCs w:val="21"/>
              </w:rPr>
            </w:pPr>
            <w:r>
              <w:rPr>
                <w:color w:val="000000"/>
                <w:szCs w:val="21"/>
              </w:rPr>
              <w:t>评委签署</w:t>
            </w:r>
          </w:p>
        </w:tc>
        <w:tc>
          <w:tcPr>
            <w:tcW w:w="6495" w:type="dxa"/>
            <w:gridSpan w:val="3"/>
            <w:tcBorders>
              <w:top w:val="single" w:color="auto" w:sz="4" w:space="0"/>
              <w:left w:val="nil"/>
              <w:bottom w:val="single" w:color="auto" w:sz="8" w:space="0"/>
              <w:right w:val="single" w:color="000000" w:sz="8" w:space="0"/>
            </w:tcBorders>
            <w:vAlign w:val="center"/>
          </w:tcPr>
          <w:p>
            <w:pPr>
              <w:jc w:val="center"/>
              <w:rPr>
                <w:color w:val="000000"/>
                <w:szCs w:val="21"/>
              </w:rPr>
            </w:pPr>
            <w:r>
              <w:rPr>
                <w:color w:val="000000"/>
                <w:szCs w:val="21"/>
              </w:rPr>
              <w:t>　</w:t>
            </w:r>
          </w:p>
        </w:tc>
      </w:tr>
    </w:tbl>
    <w:p>
      <w:pPr>
        <w:spacing w:line="400" w:lineRule="exact"/>
        <w:rPr>
          <w:szCs w:val="21"/>
        </w:rPr>
      </w:pPr>
      <w:r>
        <w:rPr>
          <w:szCs w:val="21"/>
        </w:rPr>
        <w:t>备注：1、每一项目符合的打</w:t>
      </w:r>
      <w:r>
        <w:rPr>
          <w:rFonts w:ascii="宋体" w:hAnsi="宋体" w:eastAsia="宋体"/>
          <w:szCs w:val="21"/>
        </w:rPr>
        <w:t>“○”，不符合的打“×”；出现一个“×”</w:t>
      </w:r>
      <w:r>
        <w:rPr>
          <w:szCs w:val="21"/>
        </w:rPr>
        <w:t>的结论为不通过</w:t>
      </w:r>
      <w:r>
        <w:rPr>
          <w:rFonts w:hint="eastAsia"/>
          <w:szCs w:val="21"/>
        </w:rPr>
        <w:t>并写明不通过原因情况</w:t>
      </w:r>
      <w:r>
        <w:rPr>
          <w:szCs w:val="21"/>
        </w:rPr>
        <w:t>。</w:t>
      </w:r>
    </w:p>
    <w:p>
      <w:pPr>
        <w:pStyle w:val="33"/>
        <w:rPr>
          <w:rFonts w:ascii="Times New Roman" w:hAnsi="Times New Roman"/>
          <w:color w:val="auto"/>
        </w:rPr>
      </w:pPr>
      <w:r>
        <w:rPr>
          <w:rFonts w:hint="eastAsia" w:ascii="Times New Roman" w:hAnsi="Times New Roman"/>
          <w:color w:val="auto"/>
        </w:rPr>
        <w:t xml:space="preserve">        </w:t>
      </w:r>
      <w:r>
        <w:rPr>
          <w:rFonts w:hint="eastAsia" w:ascii="Times New Roman" w:hAnsi="Times New Roman"/>
          <w:b w:val="0"/>
          <w:bCs w:val="0"/>
          <w:color w:val="auto"/>
        </w:rPr>
        <w:t xml:space="preserve">   </w:t>
      </w:r>
    </w:p>
    <w:p>
      <w:pPr>
        <w:pStyle w:val="33"/>
        <w:rPr>
          <w:rFonts w:ascii="Times New Roman" w:hAnsi="Times New Roman"/>
          <w:color w:val="auto"/>
        </w:rPr>
      </w:pPr>
      <w:r>
        <w:rPr>
          <w:rFonts w:ascii="Times New Roman" w:hAnsi="Times New Roman"/>
          <w:color w:val="auto"/>
        </w:rPr>
        <w:t>日    期：</w:t>
      </w:r>
    </w:p>
    <w:p>
      <w:pPr>
        <w:rPr>
          <w:szCs w:val="21"/>
        </w:rPr>
      </w:pPr>
      <w:r>
        <w:rPr>
          <w:szCs w:val="21"/>
        </w:rPr>
        <w:br w:type="page"/>
      </w:r>
      <w:r>
        <w:rPr>
          <w:szCs w:val="21"/>
        </w:rPr>
        <w:t>附表3-2：</w:t>
      </w:r>
    </w:p>
    <w:p>
      <w:pPr>
        <w:spacing w:line="360" w:lineRule="auto"/>
        <w:jc w:val="center"/>
        <w:rPr>
          <w:b/>
          <w:bCs/>
          <w:sz w:val="28"/>
          <w:szCs w:val="28"/>
        </w:rPr>
      </w:pPr>
      <w:r>
        <w:rPr>
          <w:rFonts w:hint="eastAsia"/>
          <w:b/>
          <w:bCs/>
          <w:sz w:val="28"/>
          <w:szCs w:val="28"/>
        </w:rPr>
        <w:t>商务技术评分表</w:t>
      </w:r>
    </w:p>
    <w:tbl>
      <w:tblPr>
        <w:tblStyle w:val="55"/>
        <w:tblW w:w="15150" w:type="dxa"/>
        <w:tblInd w:w="-40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5"/>
        <w:gridCol w:w="1185"/>
        <w:gridCol w:w="765"/>
        <w:gridCol w:w="6319"/>
        <w:gridCol w:w="1134"/>
        <w:gridCol w:w="962"/>
        <w:gridCol w:w="15"/>
        <w:gridCol w:w="945"/>
        <w:gridCol w:w="953"/>
        <w:gridCol w:w="1177"/>
        <w:gridCol w:w="123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 w:hRule="atLeast"/>
        </w:trPr>
        <w:tc>
          <w:tcPr>
            <w:tcW w:w="465" w:type="dxa"/>
            <w:vMerge w:val="restart"/>
            <w:shd w:val="clear" w:color="auto" w:fill="D9D9D9"/>
            <w:vAlign w:val="center"/>
          </w:tcPr>
          <w:p>
            <w:pPr>
              <w:jc w:val="center"/>
              <w:rPr>
                <w:b/>
                <w:bCs/>
                <w:color w:val="000000"/>
                <w:szCs w:val="21"/>
                <w:highlight w:val="none"/>
              </w:rPr>
            </w:pPr>
            <w:r>
              <w:rPr>
                <w:rFonts w:hint="eastAsia"/>
                <w:b/>
                <w:bCs/>
                <w:color w:val="000000"/>
                <w:szCs w:val="21"/>
                <w:highlight w:val="none"/>
              </w:rPr>
              <w:t>序号</w:t>
            </w:r>
          </w:p>
        </w:tc>
        <w:tc>
          <w:tcPr>
            <w:tcW w:w="1185" w:type="dxa"/>
            <w:vMerge w:val="restart"/>
            <w:shd w:val="clear" w:color="auto" w:fill="D9D9D9"/>
            <w:vAlign w:val="center"/>
          </w:tcPr>
          <w:p>
            <w:pPr>
              <w:jc w:val="center"/>
              <w:rPr>
                <w:color w:val="000000"/>
                <w:szCs w:val="21"/>
              </w:rPr>
            </w:pPr>
            <w:r>
              <w:rPr>
                <w:rFonts w:hint="eastAsia"/>
                <w:b/>
                <w:bCs/>
                <w:color w:val="000000"/>
                <w:szCs w:val="21"/>
              </w:rPr>
              <w:t>评审项目</w:t>
            </w:r>
          </w:p>
        </w:tc>
        <w:tc>
          <w:tcPr>
            <w:tcW w:w="765" w:type="dxa"/>
            <w:vMerge w:val="restart"/>
            <w:shd w:val="clear" w:color="auto" w:fill="D9D9D9"/>
            <w:vAlign w:val="center"/>
          </w:tcPr>
          <w:p>
            <w:pPr>
              <w:jc w:val="center"/>
              <w:rPr>
                <w:color w:val="000000"/>
                <w:szCs w:val="21"/>
              </w:rPr>
            </w:pPr>
            <w:r>
              <w:rPr>
                <w:rFonts w:hint="eastAsia"/>
                <w:b/>
                <w:bCs/>
                <w:color w:val="000000"/>
                <w:szCs w:val="21"/>
              </w:rPr>
              <w:t>分配分数</w:t>
            </w:r>
          </w:p>
        </w:tc>
        <w:tc>
          <w:tcPr>
            <w:tcW w:w="6319" w:type="dxa"/>
            <w:vMerge w:val="restart"/>
            <w:shd w:val="clear" w:color="auto" w:fill="D9D9D9"/>
            <w:vAlign w:val="center"/>
          </w:tcPr>
          <w:p>
            <w:pPr>
              <w:jc w:val="center"/>
              <w:rPr>
                <w:color w:val="000000"/>
                <w:szCs w:val="21"/>
              </w:rPr>
            </w:pPr>
            <w:r>
              <w:rPr>
                <w:rFonts w:hint="eastAsia"/>
                <w:b/>
                <w:bCs/>
                <w:color w:val="000000"/>
                <w:szCs w:val="21"/>
              </w:rPr>
              <w:t>评议内容</w:t>
            </w:r>
          </w:p>
        </w:tc>
        <w:tc>
          <w:tcPr>
            <w:tcW w:w="4009" w:type="dxa"/>
            <w:gridSpan w:val="5"/>
            <w:shd w:val="clear" w:color="auto" w:fill="D9D9D9"/>
            <w:vAlign w:val="center"/>
          </w:tcPr>
          <w:p>
            <w:pPr>
              <w:jc w:val="center"/>
              <w:rPr>
                <w:b/>
                <w:bCs/>
                <w:color w:val="000000"/>
                <w:szCs w:val="21"/>
              </w:rPr>
            </w:pPr>
            <w:r>
              <w:rPr>
                <w:rFonts w:hint="eastAsia"/>
                <w:b/>
                <w:bCs/>
                <w:color w:val="000000"/>
                <w:szCs w:val="21"/>
              </w:rPr>
              <w:t>评分</w:t>
            </w:r>
          </w:p>
        </w:tc>
        <w:tc>
          <w:tcPr>
            <w:tcW w:w="1177" w:type="dxa"/>
            <w:vMerge w:val="restart"/>
            <w:shd w:val="clear" w:color="auto" w:fill="D9D9D9"/>
            <w:vAlign w:val="center"/>
          </w:tcPr>
          <w:p>
            <w:pPr>
              <w:jc w:val="center"/>
              <w:rPr>
                <w:b/>
                <w:bCs/>
                <w:color w:val="000000"/>
                <w:szCs w:val="21"/>
              </w:rPr>
            </w:pPr>
            <w:r>
              <w:rPr>
                <w:rFonts w:hint="eastAsia"/>
                <w:b/>
                <w:bCs/>
                <w:color w:val="000000"/>
                <w:szCs w:val="21"/>
              </w:rPr>
              <w:t>投标人</w:t>
            </w:r>
          </w:p>
          <w:p>
            <w:pPr>
              <w:jc w:val="center"/>
              <w:rPr>
                <w:color w:val="000000"/>
                <w:szCs w:val="21"/>
              </w:rPr>
            </w:pPr>
            <w:r>
              <w:rPr>
                <w:b/>
                <w:bCs/>
                <w:color w:val="000000"/>
                <w:szCs w:val="21"/>
              </w:rPr>
              <w:t>…</w:t>
            </w:r>
          </w:p>
        </w:tc>
        <w:tc>
          <w:tcPr>
            <w:tcW w:w="1230" w:type="dxa"/>
            <w:vMerge w:val="restart"/>
            <w:shd w:val="clear" w:color="auto" w:fill="D9D9D9"/>
            <w:vAlign w:val="center"/>
          </w:tcPr>
          <w:p>
            <w:pPr>
              <w:jc w:val="center"/>
              <w:rPr>
                <w:b/>
                <w:bCs/>
                <w:color w:val="000000"/>
                <w:szCs w:val="21"/>
              </w:rPr>
            </w:pPr>
            <w:r>
              <w:rPr>
                <w:rFonts w:hint="eastAsia"/>
                <w:b/>
                <w:bCs/>
                <w:color w:val="000000"/>
                <w:szCs w:val="21"/>
              </w:rPr>
              <w:t>投标人</w:t>
            </w:r>
          </w:p>
          <w:p>
            <w:pPr>
              <w:jc w:val="center"/>
              <w:rPr>
                <w:b/>
                <w:bCs/>
                <w:color w:val="000000"/>
                <w:szCs w:val="21"/>
              </w:rPr>
            </w:pPr>
            <w:r>
              <w:rPr>
                <w:b/>
                <w:bCs/>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 w:hRule="atLeast"/>
        </w:trPr>
        <w:tc>
          <w:tcPr>
            <w:tcW w:w="465" w:type="dxa"/>
            <w:vMerge w:val="continue"/>
            <w:shd w:val="clear" w:color="auto" w:fill="auto"/>
            <w:vAlign w:val="top"/>
          </w:tcPr>
          <w:p>
            <w:pPr>
              <w:jc w:val="center"/>
              <w:rPr>
                <w:color w:val="000000"/>
                <w:szCs w:val="21"/>
                <w:highlight w:val="none"/>
              </w:rPr>
            </w:pPr>
          </w:p>
        </w:tc>
        <w:tc>
          <w:tcPr>
            <w:tcW w:w="1185" w:type="dxa"/>
            <w:vMerge w:val="continue"/>
            <w:shd w:val="clear" w:color="auto" w:fill="auto"/>
            <w:vAlign w:val="top"/>
          </w:tcPr>
          <w:p>
            <w:pPr>
              <w:jc w:val="center"/>
              <w:rPr>
                <w:color w:val="000000"/>
                <w:szCs w:val="21"/>
              </w:rPr>
            </w:pPr>
          </w:p>
        </w:tc>
        <w:tc>
          <w:tcPr>
            <w:tcW w:w="765" w:type="dxa"/>
            <w:vMerge w:val="continue"/>
            <w:shd w:val="clear" w:color="auto" w:fill="auto"/>
            <w:vAlign w:val="top"/>
          </w:tcPr>
          <w:p>
            <w:pPr>
              <w:jc w:val="center"/>
              <w:rPr>
                <w:color w:val="000000"/>
                <w:szCs w:val="21"/>
              </w:rPr>
            </w:pPr>
          </w:p>
        </w:tc>
        <w:tc>
          <w:tcPr>
            <w:tcW w:w="6319" w:type="dxa"/>
            <w:vMerge w:val="continue"/>
            <w:shd w:val="clear" w:color="auto" w:fill="auto"/>
            <w:vAlign w:val="top"/>
          </w:tcPr>
          <w:p>
            <w:pPr>
              <w:jc w:val="center"/>
              <w:rPr>
                <w:color w:val="000000"/>
                <w:szCs w:val="21"/>
              </w:rPr>
            </w:pPr>
          </w:p>
        </w:tc>
        <w:tc>
          <w:tcPr>
            <w:tcW w:w="1134" w:type="dxa"/>
            <w:shd w:val="clear" w:color="auto" w:fill="D9D9D9"/>
            <w:vAlign w:val="center"/>
          </w:tcPr>
          <w:p>
            <w:pPr>
              <w:jc w:val="center"/>
              <w:rPr>
                <w:rFonts w:hint="eastAsia" w:eastAsia="宋体"/>
                <w:b/>
                <w:bCs/>
                <w:color w:val="000000"/>
                <w:szCs w:val="21"/>
                <w:lang w:val="en-US" w:eastAsia="zh-CN"/>
              </w:rPr>
            </w:pPr>
            <w:r>
              <w:rPr>
                <w:rFonts w:hint="eastAsia"/>
                <w:b/>
                <w:bCs/>
                <w:color w:val="000000"/>
                <w:szCs w:val="21"/>
              </w:rPr>
              <w:t>100</w:t>
            </w:r>
            <w:r>
              <w:rPr>
                <w:rFonts w:hint="eastAsia"/>
                <w:b/>
                <w:bCs/>
                <w:color w:val="000000"/>
                <w:szCs w:val="21"/>
                <w:lang w:val="en-US" w:eastAsia="zh-CN"/>
              </w:rPr>
              <w:t>%</w:t>
            </w:r>
          </w:p>
        </w:tc>
        <w:tc>
          <w:tcPr>
            <w:tcW w:w="977" w:type="dxa"/>
            <w:gridSpan w:val="2"/>
            <w:shd w:val="clear" w:color="auto" w:fill="D9D9D9"/>
            <w:vAlign w:val="center"/>
          </w:tcPr>
          <w:p>
            <w:pPr>
              <w:jc w:val="center"/>
              <w:rPr>
                <w:rFonts w:hint="eastAsia" w:eastAsia="宋体"/>
                <w:b/>
                <w:bCs/>
                <w:color w:val="000000"/>
                <w:szCs w:val="21"/>
                <w:lang w:val="en-US" w:eastAsia="zh-CN"/>
              </w:rPr>
            </w:pPr>
            <w:r>
              <w:rPr>
                <w:rFonts w:hint="eastAsia"/>
                <w:b/>
                <w:bCs/>
                <w:color w:val="000000"/>
                <w:szCs w:val="21"/>
                <w:lang w:val="en-US" w:eastAsia="zh-CN"/>
              </w:rPr>
              <w:t>80%</w:t>
            </w:r>
          </w:p>
        </w:tc>
        <w:tc>
          <w:tcPr>
            <w:tcW w:w="945" w:type="dxa"/>
            <w:shd w:val="clear" w:color="auto" w:fill="D9D9D9"/>
            <w:vAlign w:val="center"/>
          </w:tcPr>
          <w:p>
            <w:pPr>
              <w:jc w:val="center"/>
              <w:rPr>
                <w:rFonts w:hint="eastAsia" w:eastAsia="宋体"/>
                <w:b/>
                <w:bCs/>
                <w:color w:val="000000"/>
                <w:szCs w:val="21"/>
                <w:lang w:val="en-US" w:eastAsia="zh-CN"/>
              </w:rPr>
            </w:pPr>
            <w:r>
              <w:rPr>
                <w:rFonts w:hint="eastAsia"/>
                <w:b/>
                <w:bCs/>
                <w:color w:val="000000"/>
                <w:szCs w:val="21"/>
                <w:lang w:val="en-US" w:eastAsia="zh-CN"/>
              </w:rPr>
              <w:t>60%</w:t>
            </w:r>
          </w:p>
        </w:tc>
        <w:tc>
          <w:tcPr>
            <w:tcW w:w="953" w:type="dxa"/>
            <w:shd w:val="clear" w:color="auto" w:fill="D9D9D9"/>
            <w:vAlign w:val="center"/>
          </w:tcPr>
          <w:p>
            <w:pPr>
              <w:jc w:val="center"/>
              <w:rPr>
                <w:rFonts w:hint="eastAsia" w:eastAsia="宋体"/>
                <w:b/>
                <w:bCs/>
                <w:color w:val="000000"/>
                <w:szCs w:val="21"/>
                <w:lang w:val="en-US" w:eastAsia="zh-CN"/>
              </w:rPr>
            </w:pPr>
            <w:r>
              <w:rPr>
                <w:rFonts w:hint="eastAsia"/>
                <w:b/>
                <w:bCs/>
                <w:color w:val="000000"/>
                <w:szCs w:val="21"/>
                <w:lang w:val="en-US" w:eastAsia="zh-CN"/>
              </w:rPr>
              <w:t>40%</w:t>
            </w:r>
          </w:p>
        </w:tc>
        <w:tc>
          <w:tcPr>
            <w:tcW w:w="1177" w:type="dxa"/>
            <w:vMerge w:val="continue"/>
            <w:vAlign w:val="top"/>
          </w:tcPr>
          <w:p>
            <w:pPr>
              <w:jc w:val="center"/>
              <w:rPr>
                <w:color w:val="000000"/>
                <w:szCs w:val="21"/>
              </w:rPr>
            </w:pPr>
          </w:p>
        </w:tc>
        <w:tc>
          <w:tcPr>
            <w:tcW w:w="1230" w:type="dxa"/>
            <w:vMerge w:val="continue"/>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 w:hRule="atLeast"/>
        </w:trPr>
        <w:tc>
          <w:tcPr>
            <w:tcW w:w="465" w:type="dxa"/>
            <w:vMerge w:val="continue"/>
            <w:shd w:val="clear" w:color="auto" w:fill="auto"/>
            <w:vAlign w:val="top"/>
          </w:tcPr>
          <w:p>
            <w:pPr>
              <w:jc w:val="center"/>
              <w:rPr>
                <w:color w:val="000000"/>
                <w:szCs w:val="21"/>
                <w:highlight w:val="none"/>
              </w:rPr>
            </w:pPr>
          </w:p>
        </w:tc>
        <w:tc>
          <w:tcPr>
            <w:tcW w:w="1185" w:type="dxa"/>
            <w:vMerge w:val="continue"/>
            <w:shd w:val="clear" w:color="auto" w:fill="auto"/>
            <w:vAlign w:val="top"/>
          </w:tcPr>
          <w:p>
            <w:pPr>
              <w:jc w:val="center"/>
              <w:rPr>
                <w:color w:val="000000"/>
                <w:szCs w:val="21"/>
              </w:rPr>
            </w:pPr>
          </w:p>
        </w:tc>
        <w:tc>
          <w:tcPr>
            <w:tcW w:w="765" w:type="dxa"/>
            <w:vMerge w:val="continue"/>
            <w:shd w:val="clear" w:color="auto" w:fill="auto"/>
            <w:vAlign w:val="top"/>
          </w:tcPr>
          <w:p>
            <w:pPr>
              <w:jc w:val="center"/>
              <w:rPr>
                <w:color w:val="000000"/>
                <w:szCs w:val="21"/>
              </w:rPr>
            </w:pPr>
          </w:p>
        </w:tc>
        <w:tc>
          <w:tcPr>
            <w:tcW w:w="6319" w:type="dxa"/>
            <w:vMerge w:val="continue"/>
            <w:shd w:val="clear" w:color="auto" w:fill="auto"/>
            <w:vAlign w:val="top"/>
          </w:tcPr>
          <w:p>
            <w:pPr>
              <w:jc w:val="center"/>
              <w:rPr>
                <w:color w:val="000000"/>
                <w:szCs w:val="21"/>
              </w:rPr>
            </w:pPr>
          </w:p>
        </w:tc>
        <w:tc>
          <w:tcPr>
            <w:tcW w:w="1134" w:type="dxa"/>
            <w:shd w:val="clear" w:color="auto" w:fill="D9D9D9"/>
            <w:vAlign w:val="center"/>
          </w:tcPr>
          <w:p>
            <w:pPr>
              <w:jc w:val="center"/>
              <w:rPr>
                <w:b/>
                <w:bCs/>
                <w:color w:val="000000"/>
                <w:szCs w:val="21"/>
              </w:rPr>
            </w:pPr>
            <w:r>
              <w:rPr>
                <w:rFonts w:hint="eastAsia"/>
                <w:b/>
                <w:bCs/>
                <w:color w:val="000000"/>
                <w:szCs w:val="21"/>
              </w:rPr>
              <w:t>优</w:t>
            </w:r>
          </w:p>
        </w:tc>
        <w:tc>
          <w:tcPr>
            <w:tcW w:w="977" w:type="dxa"/>
            <w:gridSpan w:val="2"/>
            <w:shd w:val="clear" w:color="auto" w:fill="D9D9D9"/>
            <w:vAlign w:val="center"/>
          </w:tcPr>
          <w:p>
            <w:pPr>
              <w:jc w:val="center"/>
              <w:rPr>
                <w:b/>
                <w:bCs/>
                <w:color w:val="000000"/>
                <w:szCs w:val="21"/>
              </w:rPr>
            </w:pPr>
            <w:r>
              <w:rPr>
                <w:rFonts w:hint="eastAsia"/>
                <w:b/>
                <w:bCs/>
                <w:color w:val="000000"/>
                <w:szCs w:val="21"/>
              </w:rPr>
              <w:t>良</w:t>
            </w:r>
          </w:p>
        </w:tc>
        <w:tc>
          <w:tcPr>
            <w:tcW w:w="945" w:type="dxa"/>
            <w:shd w:val="clear" w:color="auto" w:fill="D9D9D9"/>
            <w:vAlign w:val="center"/>
          </w:tcPr>
          <w:p>
            <w:pPr>
              <w:jc w:val="center"/>
              <w:rPr>
                <w:b/>
                <w:bCs/>
                <w:color w:val="000000"/>
                <w:szCs w:val="21"/>
              </w:rPr>
            </w:pPr>
            <w:r>
              <w:rPr>
                <w:rFonts w:hint="eastAsia"/>
                <w:b/>
                <w:bCs/>
                <w:color w:val="000000"/>
                <w:szCs w:val="21"/>
              </w:rPr>
              <w:t>中</w:t>
            </w:r>
          </w:p>
        </w:tc>
        <w:tc>
          <w:tcPr>
            <w:tcW w:w="953" w:type="dxa"/>
            <w:shd w:val="clear" w:color="auto" w:fill="D9D9D9"/>
            <w:vAlign w:val="center"/>
          </w:tcPr>
          <w:p>
            <w:pPr>
              <w:jc w:val="center"/>
              <w:rPr>
                <w:b/>
                <w:bCs/>
                <w:color w:val="000000"/>
                <w:szCs w:val="21"/>
              </w:rPr>
            </w:pPr>
            <w:r>
              <w:rPr>
                <w:rFonts w:hint="eastAsia"/>
                <w:b/>
                <w:bCs/>
                <w:color w:val="000000"/>
                <w:szCs w:val="21"/>
              </w:rPr>
              <w:t>差</w:t>
            </w:r>
          </w:p>
        </w:tc>
        <w:tc>
          <w:tcPr>
            <w:tcW w:w="1177" w:type="dxa"/>
            <w:vMerge w:val="continue"/>
            <w:vAlign w:val="top"/>
          </w:tcPr>
          <w:p>
            <w:pPr>
              <w:jc w:val="center"/>
              <w:rPr>
                <w:color w:val="000000"/>
                <w:szCs w:val="21"/>
              </w:rPr>
            </w:pPr>
          </w:p>
        </w:tc>
        <w:tc>
          <w:tcPr>
            <w:tcW w:w="1230" w:type="dxa"/>
            <w:vMerge w:val="continue"/>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0" w:hRule="atLeast"/>
        </w:trPr>
        <w:tc>
          <w:tcPr>
            <w:tcW w:w="465" w:type="dxa"/>
            <w:vAlign w:val="center"/>
          </w:tcPr>
          <w:p>
            <w:pPr>
              <w:spacing w:line="360" w:lineRule="exact"/>
              <w:jc w:val="center"/>
              <w:rPr>
                <w:color w:val="000000"/>
                <w:szCs w:val="21"/>
                <w:highlight w:val="none"/>
              </w:rPr>
            </w:pPr>
            <w:r>
              <w:rPr>
                <w:rFonts w:hint="eastAsia"/>
                <w:color w:val="000000"/>
                <w:szCs w:val="21"/>
                <w:highlight w:val="none"/>
              </w:rPr>
              <w:t>1</w:t>
            </w:r>
          </w:p>
        </w:tc>
        <w:tc>
          <w:tcPr>
            <w:tcW w:w="1185" w:type="dxa"/>
            <w:vAlign w:val="center"/>
          </w:tcPr>
          <w:p>
            <w:pPr>
              <w:spacing w:line="300" w:lineRule="exact"/>
              <w:jc w:val="center"/>
              <w:rPr>
                <w:color w:val="000000"/>
                <w:szCs w:val="21"/>
              </w:rPr>
            </w:pPr>
            <w:r>
              <w:rPr>
                <w:rFonts w:hint="eastAsia"/>
                <w:color w:val="000000"/>
                <w:szCs w:val="21"/>
              </w:rPr>
              <w:t>招标文件响应程度</w:t>
            </w:r>
          </w:p>
        </w:tc>
        <w:tc>
          <w:tcPr>
            <w:tcW w:w="765" w:type="dxa"/>
            <w:vAlign w:val="center"/>
          </w:tcPr>
          <w:p>
            <w:pPr>
              <w:spacing w:line="300" w:lineRule="exact"/>
              <w:jc w:val="center"/>
              <w:rPr>
                <w:color w:val="000000"/>
                <w:szCs w:val="21"/>
              </w:rPr>
            </w:pPr>
            <w:r>
              <w:rPr>
                <w:rFonts w:hint="eastAsia"/>
                <w:color w:val="000000"/>
                <w:szCs w:val="21"/>
              </w:rPr>
              <w:t>5</w:t>
            </w:r>
          </w:p>
        </w:tc>
        <w:tc>
          <w:tcPr>
            <w:tcW w:w="6319" w:type="dxa"/>
            <w:vAlign w:val="center"/>
          </w:tcPr>
          <w:p>
            <w:pPr>
              <w:spacing w:line="300" w:lineRule="exact"/>
              <w:rPr>
                <w:color w:val="000000"/>
                <w:szCs w:val="21"/>
              </w:rPr>
            </w:pPr>
            <w:r>
              <w:rPr>
                <w:rFonts w:hint="eastAsia"/>
                <w:color w:val="000000"/>
                <w:szCs w:val="21"/>
              </w:rPr>
              <w:t>对招标文件各条款的响应程度。</w:t>
            </w:r>
          </w:p>
        </w:tc>
        <w:tc>
          <w:tcPr>
            <w:tcW w:w="1134" w:type="dxa"/>
            <w:vAlign w:val="center"/>
          </w:tcPr>
          <w:p>
            <w:pPr>
              <w:spacing w:line="300" w:lineRule="exact"/>
              <w:jc w:val="center"/>
              <w:rPr>
                <w:rFonts w:hint="eastAsia" w:eastAsia="宋体"/>
                <w:szCs w:val="21"/>
                <w:lang w:val="en-US" w:eastAsia="zh-CN"/>
              </w:rPr>
            </w:pPr>
            <w:r>
              <w:rPr>
                <w:rFonts w:hint="eastAsia"/>
                <w:szCs w:val="21"/>
                <w:lang w:val="en-US" w:eastAsia="zh-CN"/>
              </w:rPr>
              <w:t>5</w:t>
            </w:r>
          </w:p>
        </w:tc>
        <w:tc>
          <w:tcPr>
            <w:tcW w:w="977" w:type="dxa"/>
            <w:gridSpan w:val="2"/>
            <w:vAlign w:val="center"/>
          </w:tcPr>
          <w:p>
            <w:pPr>
              <w:spacing w:line="300" w:lineRule="exact"/>
              <w:jc w:val="center"/>
              <w:rPr>
                <w:rFonts w:hint="eastAsia" w:eastAsia="宋体"/>
                <w:szCs w:val="21"/>
                <w:lang w:val="en-US" w:eastAsia="zh-CN"/>
              </w:rPr>
            </w:pPr>
            <w:r>
              <w:rPr>
                <w:rFonts w:hint="eastAsia"/>
                <w:szCs w:val="21"/>
                <w:lang w:val="en-US" w:eastAsia="zh-CN"/>
              </w:rPr>
              <w:t>4</w:t>
            </w:r>
          </w:p>
        </w:tc>
        <w:tc>
          <w:tcPr>
            <w:tcW w:w="945" w:type="dxa"/>
            <w:vAlign w:val="center"/>
          </w:tcPr>
          <w:p>
            <w:pPr>
              <w:spacing w:line="300" w:lineRule="exact"/>
              <w:jc w:val="center"/>
              <w:rPr>
                <w:rFonts w:hint="eastAsia" w:eastAsia="宋体"/>
                <w:szCs w:val="21"/>
                <w:lang w:val="en-US" w:eastAsia="zh-CN"/>
              </w:rPr>
            </w:pPr>
            <w:r>
              <w:rPr>
                <w:rFonts w:hint="eastAsia"/>
                <w:szCs w:val="21"/>
                <w:lang w:val="en-US" w:eastAsia="zh-CN"/>
              </w:rPr>
              <w:t>3</w:t>
            </w:r>
          </w:p>
        </w:tc>
        <w:tc>
          <w:tcPr>
            <w:tcW w:w="953" w:type="dxa"/>
            <w:vAlign w:val="center"/>
          </w:tcPr>
          <w:p>
            <w:pPr>
              <w:spacing w:line="300" w:lineRule="exact"/>
              <w:jc w:val="center"/>
              <w:rPr>
                <w:rFonts w:hint="eastAsia" w:eastAsia="宋体"/>
                <w:szCs w:val="21"/>
                <w:lang w:val="en-US" w:eastAsia="zh-CN"/>
              </w:rPr>
            </w:pPr>
            <w:r>
              <w:rPr>
                <w:rFonts w:hint="eastAsia"/>
                <w:szCs w:val="21"/>
                <w:lang w:val="en-US" w:eastAsia="zh-CN"/>
              </w:rPr>
              <w:t>2</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465" w:type="dxa"/>
            <w:vAlign w:val="center"/>
          </w:tcPr>
          <w:p>
            <w:pPr>
              <w:spacing w:line="360" w:lineRule="exact"/>
              <w:jc w:val="center"/>
              <w:rPr>
                <w:color w:val="000000"/>
                <w:szCs w:val="21"/>
                <w:highlight w:val="none"/>
              </w:rPr>
            </w:pPr>
            <w:r>
              <w:rPr>
                <w:rFonts w:hint="eastAsia"/>
                <w:color w:val="000000"/>
                <w:szCs w:val="21"/>
                <w:highlight w:val="none"/>
              </w:rPr>
              <w:t>2</w:t>
            </w:r>
          </w:p>
        </w:tc>
        <w:tc>
          <w:tcPr>
            <w:tcW w:w="1185" w:type="dxa"/>
            <w:vAlign w:val="center"/>
          </w:tcPr>
          <w:p>
            <w:pPr>
              <w:spacing w:line="300" w:lineRule="exact"/>
              <w:jc w:val="center"/>
              <w:rPr>
                <w:color w:val="000000"/>
                <w:szCs w:val="21"/>
              </w:rPr>
            </w:pPr>
            <w:r>
              <w:rPr>
                <w:rFonts w:hint="eastAsia"/>
                <w:color w:val="000000"/>
                <w:szCs w:val="21"/>
              </w:rPr>
              <w:t>财务状况</w:t>
            </w:r>
          </w:p>
        </w:tc>
        <w:tc>
          <w:tcPr>
            <w:tcW w:w="765" w:type="dxa"/>
            <w:vAlign w:val="center"/>
          </w:tcPr>
          <w:p>
            <w:pPr>
              <w:spacing w:line="300" w:lineRule="exact"/>
              <w:jc w:val="center"/>
              <w:rPr>
                <w:color w:val="000000"/>
                <w:szCs w:val="21"/>
              </w:rPr>
            </w:pPr>
            <w:r>
              <w:rPr>
                <w:rFonts w:hint="eastAsia"/>
                <w:color w:val="000000"/>
                <w:szCs w:val="21"/>
              </w:rPr>
              <w:t>5</w:t>
            </w:r>
          </w:p>
        </w:tc>
        <w:tc>
          <w:tcPr>
            <w:tcW w:w="6319" w:type="dxa"/>
            <w:vAlign w:val="center"/>
          </w:tcPr>
          <w:p>
            <w:pPr>
              <w:spacing w:line="300" w:lineRule="exact"/>
              <w:rPr>
                <w:color w:val="000000"/>
                <w:szCs w:val="21"/>
              </w:rPr>
            </w:pPr>
            <w:r>
              <w:rPr>
                <w:rFonts w:hint="eastAsia" w:ascii="宋体" w:hAnsi="宋体"/>
                <w:color w:val="000000"/>
              </w:rPr>
              <w:t>对比投标人近三年财务状况。</w:t>
            </w:r>
          </w:p>
        </w:tc>
        <w:tc>
          <w:tcPr>
            <w:tcW w:w="1134" w:type="dxa"/>
            <w:vAlign w:val="center"/>
          </w:tcPr>
          <w:p>
            <w:pPr>
              <w:spacing w:line="300" w:lineRule="exact"/>
              <w:jc w:val="center"/>
              <w:rPr>
                <w:szCs w:val="21"/>
              </w:rPr>
            </w:pPr>
            <w:r>
              <w:rPr>
                <w:rFonts w:hint="eastAsia"/>
                <w:szCs w:val="21"/>
                <w:lang w:val="en-US" w:eastAsia="zh-CN"/>
              </w:rPr>
              <w:t>5</w:t>
            </w:r>
          </w:p>
        </w:tc>
        <w:tc>
          <w:tcPr>
            <w:tcW w:w="977" w:type="dxa"/>
            <w:gridSpan w:val="2"/>
            <w:vAlign w:val="center"/>
          </w:tcPr>
          <w:p>
            <w:pPr>
              <w:spacing w:line="300" w:lineRule="exact"/>
              <w:jc w:val="center"/>
              <w:rPr>
                <w:szCs w:val="21"/>
              </w:rPr>
            </w:pPr>
            <w:r>
              <w:rPr>
                <w:rFonts w:hint="eastAsia"/>
                <w:szCs w:val="21"/>
                <w:lang w:val="en-US" w:eastAsia="zh-CN"/>
              </w:rPr>
              <w:t>4</w:t>
            </w:r>
          </w:p>
        </w:tc>
        <w:tc>
          <w:tcPr>
            <w:tcW w:w="945" w:type="dxa"/>
            <w:vAlign w:val="center"/>
          </w:tcPr>
          <w:p>
            <w:pPr>
              <w:spacing w:line="300" w:lineRule="exact"/>
              <w:jc w:val="center"/>
              <w:rPr>
                <w:szCs w:val="21"/>
              </w:rPr>
            </w:pPr>
            <w:r>
              <w:rPr>
                <w:rFonts w:hint="eastAsia"/>
                <w:szCs w:val="21"/>
                <w:lang w:val="en-US" w:eastAsia="zh-CN"/>
              </w:rPr>
              <w:t>3</w:t>
            </w:r>
          </w:p>
        </w:tc>
        <w:tc>
          <w:tcPr>
            <w:tcW w:w="953" w:type="dxa"/>
            <w:vAlign w:val="center"/>
          </w:tcPr>
          <w:p>
            <w:pPr>
              <w:spacing w:line="300" w:lineRule="exact"/>
              <w:jc w:val="center"/>
              <w:rPr>
                <w:szCs w:val="21"/>
              </w:rPr>
            </w:pPr>
            <w:r>
              <w:rPr>
                <w:rFonts w:hint="eastAsia"/>
                <w:szCs w:val="21"/>
                <w:lang w:val="en-US" w:eastAsia="zh-CN"/>
              </w:rPr>
              <w:t>2</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4" w:hRule="atLeast"/>
        </w:trPr>
        <w:tc>
          <w:tcPr>
            <w:tcW w:w="465" w:type="dxa"/>
            <w:tcBorders>
              <w:bottom w:val="single" w:color="auto" w:sz="4" w:space="0"/>
            </w:tcBorders>
            <w:vAlign w:val="center"/>
          </w:tcPr>
          <w:p>
            <w:pPr>
              <w:spacing w:line="360" w:lineRule="exact"/>
              <w:jc w:val="center"/>
              <w:rPr>
                <w:color w:val="000000"/>
                <w:szCs w:val="21"/>
              </w:rPr>
            </w:pPr>
            <w:r>
              <w:rPr>
                <w:rFonts w:hint="eastAsia"/>
                <w:color w:val="000000"/>
                <w:szCs w:val="21"/>
              </w:rPr>
              <w:t>3</w:t>
            </w:r>
          </w:p>
        </w:tc>
        <w:tc>
          <w:tcPr>
            <w:tcW w:w="1185" w:type="dxa"/>
            <w:tcBorders>
              <w:bottom w:val="single" w:color="auto" w:sz="4" w:space="0"/>
            </w:tcBorders>
            <w:vAlign w:val="center"/>
          </w:tcPr>
          <w:p>
            <w:pPr>
              <w:spacing w:line="300" w:lineRule="exact"/>
              <w:jc w:val="center"/>
              <w:rPr>
                <w:color w:val="000000"/>
                <w:szCs w:val="21"/>
              </w:rPr>
            </w:pPr>
            <w:r>
              <w:rPr>
                <w:rFonts w:hint="eastAsia"/>
                <w:color w:val="000000"/>
                <w:szCs w:val="21"/>
              </w:rPr>
              <w:t>综合实力</w:t>
            </w:r>
          </w:p>
        </w:tc>
        <w:tc>
          <w:tcPr>
            <w:tcW w:w="765" w:type="dxa"/>
            <w:tcBorders>
              <w:bottom w:val="single" w:color="auto" w:sz="4" w:space="0"/>
            </w:tcBorders>
            <w:vAlign w:val="center"/>
          </w:tcPr>
          <w:p>
            <w:pPr>
              <w:spacing w:line="300" w:lineRule="exact"/>
              <w:jc w:val="center"/>
              <w:rPr>
                <w:color w:val="000000"/>
                <w:szCs w:val="21"/>
              </w:rPr>
            </w:pPr>
            <w:r>
              <w:rPr>
                <w:rFonts w:hint="eastAsia"/>
                <w:color w:val="000000"/>
                <w:szCs w:val="21"/>
              </w:rPr>
              <w:t>10</w:t>
            </w:r>
          </w:p>
        </w:tc>
        <w:tc>
          <w:tcPr>
            <w:tcW w:w="6319" w:type="dxa"/>
            <w:tcBorders>
              <w:top w:val="single" w:color="auto" w:sz="4" w:space="0"/>
            </w:tcBorders>
            <w:vAlign w:val="center"/>
          </w:tcPr>
          <w:p>
            <w:pPr>
              <w:spacing w:line="300" w:lineRule="exact"/>
              <w:rPr>
                <w:szCs w:val="21"/>
              </w:rPr>
            </w:pPr>
            <w:r>
              <w:rPr>
                <w:rFonts w:hint="eastAsia"/>
                <w:szCs w:val="21"/>
                <w:lang w:eastAsia="zh-CN"/>
              </w:rPr>
              <w:t>对比</w:t>
            </w:r>
            <w:r>
              <w:rPr>
                <w:rFonts w:hint="eastAsia"/>
                <w:szCs w:val="21"/>
              </w:rPr>
              <w:t>投标人及其生产厂商的综合实力及社会评价、从事本行来工作经验等给分（综合资质及社会信誉度评价、相关权威的机构颁发的关于企业信誉的证书、信用评级及学术界得学术依据，论证结果等）。</w:t>
            </w:r>
          </w:p>
        </w:tc>
        <w:tc>
          <w:tcPr>
            <w:tcW w:w="1134" w:type="dxa"/>
            <w:tcBorders>
              <w:top w:val="single" w:color="auto" w:sz="4" w:space="0"/>
            </w:tcBorders>
            <w:vAlign w:val="center"/>
          </w:tcPr>
          <w:p>
            <w:pPr>
              <w:spacing w:line="300" w:lineRule="exact"/>
              <w:jc w:val="center"/>
              <w:rPr>
                <w:rFonts w:hint="eastAsia" w:eastAsia="宋体"/>
                <w:szCs w:val="21"/>
                <w:lang w:val="en-US" w:eastAsia="zh-CN"/>
              </w:rPr>
            </w:pPr>
            <w:r>
              <w:rPr>
                <w:rFonts w:hint="eastAsia"/>
                <w:szCs w:val="21"/>
                <w:lang w:val="en-US" w:eastAsia="zh-CN"/>
              </w:rPr>
              <w:t>10</w:t>
            </w:r>
          </w:p>
        </w:tc>
        <w:tc>
          <w:tcPr>
            <w:tcW w:w="977" w:type="dxa"/>
            <w:gridSpan w:val="2"/>
            <w:tcBorders>
              <w:top w:val="single" w:color="auto" w:sz="4" w:space="0"/>
            </w:tcBorders>
            <w:vAlign w:val="center"/>
          </w:tcPr>
          <w:p>
            <w:pPr>
              <w:spacing w:line="300" w:lineRule="exact"/>
              <w:jc w:val="center"/>
              <w:rPr>
                <w:rFonts w:hint="eastAsia" w:eastAsia="宋体"/>
                <w:szCs w:val="21"/>
                <w:lang w:val="en-US" w:eastAsia="zh-CN"/>
              </w:rPr>
            </w:pPr>
            <w:r>
              <w:rPr>
                <w:rFonts w:hint="eastAsia"/>
                <w:szCs w:val="21"/>
                <w:lang w:val="en-US" w:eastAsia="zh-CN"/>
              </w:rPr>
              <w:t>8</w:t>
            </w:r>
          </w:p>
        </w:tc>
        <w:tc>
          <w:tcPr>
            <w:tcW w:w="945" w:type="dxa"/>
            <w:tcBorders>
              <w:top w:val="single" w:color="auto" w:sz="4" w:space="0"/>
            </w:tcBorders>
            <w:vAlign w:val="center"/>
          </w:tcPr>
          <w:p>
            <w:pPr>
              <w:spacing w:line="300" w:lineRule="exact"/>
              <w:jc w:val="center"/>
              <w:rPr>
                <w:rFonts w:hint="eastAsia" w:eastAsia="宋体"/>
                <w:szCs w:val="21"/>
                <w:lang w:val="en-US" w:eastAsia="zh-CN"/>
              </w:rPr>
            </w:pPr>
            <w:r>
              <w:rPr>
                <w:rFonts w:hint="eastAsia"/>
                <w:szCs w:val="21"/>
                <w:lang w:val="en-US" w:eastAsia="zh-CN"/>
              </w:rPr>
              <w:t>6</w:t>
            </w:r>
          </w:p>
        </w:tc>
        <w:tc>
          <w:tcPr>
            <w:tcW w:w="953" w:type="dxa"/>
            <w:tcBorders>
              <w:top w:val="single" w:color="auto" w:sz="4" w:space="0"/>
            </w:tcBorders>
            <w:vAlign w:val="center"/>
          </w:tcPr>
          <w:p>
            <w:pPr>
              <w:spacing w:line="300" w:lineRule="exact"/>
              <w:jc w:val="center"/>
              <w:rPr>
                <w:rFonts w:hint="eastAsia" w:eastAsia="宋体"/>
                <w:szCs w:val="21"/>
                <w:lang w:val="en-US" w:eastAsia="zh-CN"/>
              </w:rPr>
            </w:pPr>
            <w:r>
              <w:rPr>
                <w:rFonts w:hint="eastAsia"/>
                <w:szCs w:val="21"/>
                <w:lang w:val="en-US" w:eastAsia="zh-CN"/>
              </w:rPr>
              <w:t>4</w:t>
            </w:r>
          </w:p>
        </w:tc>
        <w:tc>
          <w:tcPr>
            <w:tcW w:w="1177" w:type="dxa"/>
            <w:tcBorders>
              <w:top w:val="single" w:color="auto" w:sz="4" w:space="0"/>
            </w:tcBorders>
            <w:vAlign w:val="center"/>
          </w:tcPr>
          <w:p>
            <w:pPr>
              <w:jc w:val="center"/>
              <w:rPr>
                <w:color w:val="000000"/>
                <w:szCs w:val="21"/>
              </w:rPr>
            </w:pPr>
          </w:p>
        </w:tc>
        <w:tc>
          <w:tcPr>
            <w:tcW w:w="1230" w:type="dxa"/>
            <w:tcBorders>
              <w:top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30" w:hRule="atLeast"/>
        </w:trPr>
        <w:tc>
          <w:tcPr>
            <w:tcW w:w="465" w:type="dxa"/>
            <w:tcBorders>
              <w:bottom w:val="single" w:color="auto" w:sz="4" w:space="0"/>
            </w:tcBorders>
            <w:vAlign w:val="center"/>
          </w:tcPr>
          <w:p>
            <w:pPr>
              <w:spacing w:line="360" w:lineRule="exact"/>
              <w:jc w:val="center"/>
              <w:rPr>
                <w:color w:val="000000"/>
                <w:szCs w:val="21"/>
              </w:rPr>
            </w:pPr>
            <w:r>
              <w:rPr>
                <w:rFonts w:hint="eastAsia"/>
                <w:color w:val="000000"/>
                <w:szCs w:val="21"/>
              </w:rPr>
              <w:t>4</w:t>
            </w:r>
          </w:p>
        </w:tc>
        <w:tc>
          <w:tcPr>
            <w:tcW w:w="1185" w:type="dxa"/>
            <w:tcBorders>
              <w:top w:val="single" w:color="auto" w:sz="4" w:space="0"/>
              <w:bottom w:val="single" w:color="auto" w:sz="4" w:space="0"/>
            </w:tcBorders>
            <w:vAlign w:val="center"/>
          </w:tcPr>
          <w:p>
            <w:pPr>
              <w:spacing w:line="300" w:lineRule="exact"/>
              <w:jc w:val="center"/>
              <w:rPr>
                <w:color w:val="000000"/>
                <w:szCs w:val="21"/>
              </w:rPr>
            </w:pPr>
            <w:r>
              <w:rPr>
                <w:rFonts w:hint="eastAsia"/>
                <w:color w:val="000000"/>
                <w:szCs w:val="21"/>
              </w:rPr>
              <w:t>履约能力及服务</w:t>
            </w:r>
          </w:p>
        </w:tc>
        <w:tc>
          <w:tcPr>
            <w:tcW w:w="765" w:type="dxa"/>
            <w:tcBorders>
              <w:bottom w:val="single" w:color="auto" w:sz="4" w:space="0"/>
            </w:tcBorders>
            <w:vAlign w:val="center"/>
          </w:tcPr>
          <w:p>
            <w:pPr>
              <w:spacing w:line="300" w:lineRule="exact"/>
              <w:jc w:val="center"/>
              <w:rPr>
                <w:color w:val="000000"/>
                <w:szCs w:val="21"/>
              </w:rPr>
            </w:pPr>
            <w:r>
              <w:rPr>
                <w:rFonts w:hint="eastAsia"/>
                <w:color w:val="000000"/>
                <w:szCs w:val="21"/>
              </w:rPr>
              <w:t>5</w:t>
            </w:r>
          </w:p>
        </w:tc>
        <w:tc>
          <w:tcPr>
            <w:tcW w:w="6319" w:type="dxa"/>
            <w:tcBorders>
              <w:top w:val="single" w:color="auto" w:sz="4" w:space="0"/>
              <w:bottom w:val="single" w:color="auto" w:sz="4" w:space="0"/>
            </w:tcBorders>
            <w:vAlign w:val="center"/>
          </w:tcPr>
          <w:p>
            <w:pPr>
              <w:spacing w:line="300" w:lineRule="exact"/>
              <w:rPr>
                <w:szCs w:val="21"/>
              </w:rPr>
            </w:pPr>
            <w:r>
              <w:rPr>
                <w:rFonts w:hint="eastAsia"/>
                <w:szCs w:val="21"/>
                <w:lang w:eastAsia="zh-CN"/>
              </w:rPr>
              <w:t>对比</w:t>
            </w:r>
            <w:r>
              <w:rPr>
                <w:rFonts w:hint="eastAsia"/>
                <w:szCs w:val="21"/>
              </w:rPr>
              <w:t>投标人及其生产厂商履约能力、</w:t>
            </w:r>
            <w:r>
              <w:rPr>
                <w:rFonts w:hint="eastAsia" w:ascii="宋体" w:hAnsi="宋体"/>
                <w:color w:val="000000"/>
                <w:szCs w:val="21"/>
              </w:rPr>
              <w:t>服务承诺（有服务承诺书，且有相关的具体实施措施，制定了生产、验收、</w:t>
            </w:r>
            <w:r>
              <w:rPr>
                <w:rFonts w:ascii="宋体" w:hAnsi="宋体"/>
                <w:color w:val="000000"/>
                <w:szCs w:val="21"/>
              </w:rPr>
              <w:t>供货计划</w:t>
            </w:r>
            <w:r>
              <w:rPr>
                <w:rFonts w:hint="eastAsia" w:ascii="宋体" w:hAnsi="宋体"/>
                <w:color w:val="000000"/>
                <w:szCs w:val="21"/>
              </w:rPr>
              <w:t>）</w:t>
            </w:r>
            <w:r>
              <w:rPr>
                <w:rFonts w:hint="eastAsia"/>
                <w:szCs w:val="21"/>
              </w:rPr>
              <w:t>，技术、售后服务能力以及售后服务的便利性。</w:t>
            </w:r>
          </w:p>
        </w:tc>
        <w:tc>
          <w:tcPr>
            <w:tcW w:w="1134" w:type="dxa"/>
            <w:tcBorders>
              <w:top w:val="single" w:color="auto" w:sz="4" w:space="0"/>
              <w:bottom w:val="single" w:color="auto" w:sz="4" w:space="0"/>
            </w:tcBorders>
            <w:vAlign w:val="center"/>
          </w:tcPr>
          <w:p>
            <w:pPr>
              <w:spacing w:line="300" w:lineRule="exact"/>
              <w:jc w:val="center"/>
              <w:rPr>
                <w:szCs w:val="21"/>
              </w:rPr>
            </w:pPr>
            <w:r>
              <w:rPr>
                <w:rFonts w:hint="eastAsia"/>
                <w:szCs w:val="21"/>
                <w:lang w:val="en-US" w:eastAsia="zh-CN"/>
              </w:rPr>
              <w:t>5</w:t>
            </w:r>
          </w:p>
        </w:tc>
        <w:tc>
          <w:tcPr>
            <w:tcW w:w="977" w:type="dxa"/>
            <w:gridSpan w:val="2"/>
            <w:tcBorders>
              <w:top w:val="single" w:color="auto" w:sz="4" w:space="0"/>
              <w:bottom w:val="single" w:color="auto" w:sz="4" w:space="0"/>
            </w:tcBorders>
            <w:vAlign w:val="center"/>
          </w:tcPr>
          <w:p>
            <w:pPr>
              <w:spacing w:line="300" w:lineRule="exact"/>
              <w:jc w:val="center"/>
              <w:rPr>
                <w:szCs w:val="21"/>
              </w:rPr>
            </w:pPr>
            <w:r>
              <w:rPr>
                <w:rFonts w:hint="eastAsia"/>
                <w:szCs w:val="21"/>
                <w:lang w:val="en-US" w:eastAsia="zh-CN"/>
              </w:rPr>
              <w:t>4</w:t>
            </w:r>
          </w:p>
        </w:tc>
        <w:tc>
          <w:tcPr>
            <w:tcW w:w="945" w:type="dxa"/>
            <w:tcBorders>
              <w:top w:val="single" w:color="auto" w:sz="4" w:space="0"/>
              <w:bottom w:val="single" w:color="auto" w:sz="4" w:space="0"/>
            </w:tcBorders>
            <w:vAlign w:val="center"/>
          </w:tcPr>
          <w:p>
            <w:pPr>
              <w:spacing w:line="300" w:lineRule="exact"/>
              <w:jc w:val="center"/>
              <w:rPr>
                <w:szCs w:val="21"/>
              </w:rPr>
            </w:pPr>
            <w:r>
              <w:rPr>
                <w:rFonts w:hint="eastAsia"/>
                <w:szCs w:val="21"/>
                <w:lang w:val="en-US" w:eastAsia="zh-CN"/>
              </w:rPr>
              <w:t>3</w:t>
            </w:r>
          </w:p>
        </w:tc>
        <w:tc>
          <w:tcPr>
            <w:tcW w:w="953" w:type="dxa"/>
            <w:tcBorders>
              <w:top w:val="single" w:color="auto" w:sz="4" w:space="0"/>
              <w:bottom w:val="single" w:color="auto" w:sz="4" w:space="0"/>
            </w:tcBorders>
            <w:vAlign w:val="center"/>
          </w:tcPr>
          <w:p>
            <w:pPr>
              <w:spacing w:line="300" w:lineRule="exact"/>
              <w:jc w:val="center"/>
              <w:rPr>
                <w:szCs w:val="21"/>
              </w:rPr>
            </w:pPr>
            <w:r>
              <w:rPr>
                <w:rFonts w:hint="eastAsia"/>
                <w:szCs w:val="21"/>
                <w:lang w:val="en-US" w:eastAsia="zh-CN"/>
              </w:rPr>
              <w:t>2</w:t>
            </w:r>
          </w:p>
        </w:tc>
        <w:tc>
          <w:tcPr>
            <w:tcW w:w="1177" w:type="dxa"/>
            <w:tcBorders>
              <w:top w:val="single" w:color="auto" w:sz="4" w:space="0"/>
              <w:bottom w:val="single" w:color="auto" w:sz="4" w:space="0"/>
            </w:tcBorders>
            <w:vAlign w:val="center"/>
          </w:tcPr>
          <w:p>
            <w:pPr>
              <w:jc w:val="center"/>
              <w:rPr>
                <w:color w:val="000000"/>
                <w:szCs w:val="21"/>
              </w:rPr>
            </w:pPr>
          </w:p>
        </w:tc>
        <w:tc>
          <w:tcPr>
            <w:tcW w:w="1230" w:type="dxa"/>
            <w:tcBorders>
              <w:top w:val="single" w:color="auto" w:sz="4" w:space="0"/>
              <w:bottom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30" w:hRule="atLeast"/>
        </w:trPr>
        <w:tc>
          <w:tcPr>
            <w:tcW w:w="465" w:type="dxa"/>
            <w:tcBorders>
              <w:bottom w:val="single" w:color="auto" w:sz="4" w:space="0"/>
            </w:tcBorders>
            <w:vAlign w:val="center"/>
          </w:tcPr>
          <w:p>
            <w:pPr>
              <w:spacing w:line="360" w:lineRule="exact"/>
              <w:jc w:val="center"/>
              <w:rPr>
                <w:rFonts w:hint="eastAsia" w:eastAsia="宋体"/>
                <w:color w:val="000000"/>
                <w:szCs w:val="21"/>
                <w:lang w:val="en-US" w:eastAsia="zh-CN"/>
              </w:rPr>
            </w:pPr>
            <w:r>
              <w:rPr>
                <w:rFonts w:hint="eastAsia"/>
                <w:color w:val="000000"/>
                <w:szCs w:val="21"/>
                <w:lang w:val="en-US" w:eastAsia="zh-CN"/>
              </w:rPr>
              <w:t>5</w:t>
            </w:r>
          </w:p>
        </w:tc>
        <w:tc>
          <w:tcPr>
            <w:tcW w:w="1185" w:type="dxa"/>
            <w:tcBorders>
              <w:top w:val="single" w:color="auto" w:sz="4" w:space="0"/>
              <w:bottom w:val="single" w:color="auto" w:sz="4" w:space="0"/>
            </w:tcBorders>
            <w:vAlign w:val="center"/>
          </w:tcPr>
          <w:p>
            <w:pPr>
              <w:spacing w:line="300" w:lineRule="exact"/>
              <w:jc w:val="center"/>
              <w:rPr>
                <w:color w:val="000000"/>
                <w:szCs w:val="21"/>
              </w:rPr>
            </w:pPr>
            <w:r>
              <w:rPr>
                <w:rFonts w:hint="eastAsia"/>
                <w:szCs w:val="21"/>
              </w:rPr>
              <w:t>质量质保</w:t>
            </w:r>
          </w:p>
        </w:tc>
        <w:tc>
          <w:tcPr>
            <w:tcW w:w="765" w:type="dxa"/>
            <w:tcBorders>
              <w:bottom w:val="single" w:color="auto" w:sz="4" w:space="0"/>
            </w:tcBorders>
            <w:vAlign w:val="center"/>
          </w:tcPr>
          <w:p>
            <w:pPr>
              <w:spacing w:line="300" w:lineRule="exact"/>
              <w:jc w:val="center"/>
              <w:rPr>
                <w:color w:val="000000"/>
                <w:szCs w:val="21"/>
              </w:rPr>
            </w:pPr>
            <w:r>
              <w:rPr>
                <w:rFonts w:hint="eastAsia"/>
                <w:color w:val="000000"/>
                <w:szCs w:val="21"/>
              </w:rPr>
              <w:t>5</w:t>
            </w:r>
          </w:p>
        </w:tc>
        <w:tc>
          <w:tcPr>
            <w:tcW w:w="6319" w:type="dxa"/>
            <w:tcBorders>
              <w:top w:val="single" w:color="auto" w:sz="4" w:space="0"/>
              <w:bottom w:val="single" w:color="auto" w:sz="4" w:space="0"/>
            </w:tcBorders>
            <w:vAlign w:val="center"/>
          </w:tcPr>
          <w:p>
            <w:pPr>
              <w:spacing w:line="300" w:lineRule="exact"/>
              <w:rPr>
                <w:szCs w:val="21"/>
              </w:rPr>
            </w:pPr>
            <w:r>
              <w:rPr>
                <w:rFonts w:hint="eastAsia" w:ascii="宋体" w:hAnsi="宋体"/>
                <w:color w:val="000000"/>
                <w:szCs w:val="21"/>
                <w:lang w:eastAsia="zh-CN"/>
              </w:rPr>
              <w:t>对比</w:t>
            </w:r>
            <w:r>
              <w:rPr>
                <w:rFonts w:hint="eastAsia" w:ascii="宋体" w:hAnsi="宋体"/>
                <w:color w:val="000000"/>
                <w:szCs w:val="21"/>
              </w:rPr>
              <w:t>投标人的质量保证措施（有承诺书，且有相关的具体实施措施及</w:t>
            </w:r>
            <w:r>
              <w:rPr>
                <w:rFonts w:ascii="宋体" w:hAnsi="宋体"/>
                <w:color w:val="000000"/>
                <w:szCs w:val="21"/>
              </w:rPr>
              <w:t>供货计划</w:t>
            </w:r>
            <w:r>
              <w:rPr>
                <w:rFonts w:hint="eastAsia" w:ascii="宋体" w:hAnsi="宋体"/>
                <w:color w:val="000000"/>
                <w:szCs w:val="21"/>
              </w:rPr>
              <w:t>，制定了生产、验收、质量保证实施计划。）</w:t>
            </w:r>
          </w:p>
        </w:tc>
        <w:tc>
          <w:tcPr>
            <w:tcW w:w="1134" w:type="dxa"/>
            <w:tcBorders>
              <w:top w:val="single" w:color="auto" w:sz="4" w:space="0"/>
              <w:bottom w:val="single" w:color="auto" w:sz="4" w:space="0"/>
            </w:tcBorders>
            <w:vAlign w:val="center"/>
          </w:tcPr>
          <w:p>
            <w:pPr>
              <w:spacing w:line="300" w:lineRule="exact"/>
              <w:jc w:val="center"/>
              <w:rPr>
                <w:szCs w:val="21"/>
              </w:rPr>
            </w:pPr>
            <w:r>
              <w:rPr>
                <w:rFonts w:hint="eastAsia"/>
                <w:szCs w:val="21"/>
                <w:lang w:val="en-US" w:eastAsia="zh-CN"/>
              </w:rPr>
              <w:t>5</w:t>
            </w:r>
          </w:p>
        </w:tc>
        <w:tc>
          <w:tcPr>
            <w:tcW w:w="977" w:type="dxa"/>
            <w:gridSpan w:val="2"/>
            <w:tcBorders>
              <w:top w:val="single" w:color="auto" w:sz="4" w:space="0"/>
              <w:bottom w:val="single" w:color="auto" w:sz="4" w:space="0"/>
            </w:tcBorders>
            <w:vAlign w:val="center"/>
          </w:tcPr>
          <w:p>
            <w:pPr>
              <w:spacing w:line="300" w:lineRule="exact"/>
              <w:jc w:val="center"/>
              <w:rPr>
                <w:szCs w:val="21"/>
              </w:rPr>
            </w:pPr>
            <w:r>
              <w:rPr>
                <w:rFonts w:hint="eastAsia"/>
                <w:szCs w:val="21"/>
                <w:lang w:val="en-US" w:eastAsia="zh-CN"/>
              </w:rPr>
              <w:t>4</w:t>
            </w:r>
          </w:p>
        </w:tc>
        <w:tc>
          <w:tcPr>
            <w:tcW w:w="945" w:type="dxa"/>
            <w:tcBorders>
              <w:top w:val="single" w:color="auto" w:sz="4" w:space="0"/>
              <w:bottom w:val="single" w:color="auto" w:sz="4" w:space="0"/>
            </w:tcBorders>
            <w:vAlign w:val="center"/>
          </w:tcPr>
          <w:p>
            <w:pPr>
              <w:spacing w:line="300" w:lineRule="exact"/>
              <w:jc w:val="center"/>
              <w:rPr>
                <w:szCs w:val="21"/>
              </w:rPr>
            </w:pPr>
            <w:r>
              <w:rPr>
                <w:rFonts w:hint="eastAsia"/>
                <w:szCs w:val="21"/>
                <w:lang w:val="en-US" w:eastAsia="zh-CN"/>
              </w:rPr>
              <w:t>3</w:t>
            </w:r>
          </w:p>
        </w:tc>
        <w:tc>
          <w:tcPr>
            <w:tcW w:w="953" w:type="dxa"/>
            <w:tcBorders>
              <w:top w:val="single" w:color="auto" w:sz="4" w:space="0"/>
              <w:bottom w:val="single" w:color="auto" w:sz="4" w:space="0"/>
            </w:tcBorders>
            <w:vAlign w:val="center"/>
          </w:tcPr>
          <w:p>
            <w:pPr>
              <w:spacing w:line="300" w:lineRule="exact"/>
              <w:jc w:val="center"/>
              <w:rPr>
                <w:szCs w:val="21"/>
              </w:rPr>
            </w:pPr>
            <w:r>
              <w:rPr>
                <w:rFonts w:hint="eastAsia"/>
                <w:szCs w:val="21"/>
                <w:lang w:val="en-US" w:eastAsia="zh-CN"/>
              </w:rPr>
              <w:t>2</w:t>
            </w:r>
          </w:p>
        </w:tc>
        <w:tc>
          <w:tcPr>
            <w:tcW w:w="1177" w:type="dxa"/>
            <w:tcBorders>
              <w:top w:val="single" w:color="auto" w:sz="4" w:space="0"/>
              <w:bottom w:val="single" w:color="auto" w:sz="4" w:space="0"/>
            </w:tcBorders>
            <w:vAlign w:val="center"/>
          </w:tcPr>
          <w:p>
            <w:pPr>
              <w:jc w:val="center"/>
              <w:rPr>
                <w:color w:val="000000"/>
                <w:szCs w:val="21"/>
              </w:rPr>
            </w:pPr>
          </w:p>
        </w:tc>
        <w:tc>
          <w:tcPr>
            <w:tcW w:w="1230" w:type="dxa"/>
            <w:tcBorders>
              <w:top w:val="single" w:color="auto" w:sz="4" w:space="0"/>
              <w:bottom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trPr>
        <w:tc>
          <w:tcPr>
            <w:tcW w:w="465" w:type="dxa"/>
            <w:tcBorders>
              <w:top w:val="single" w:color="auto" w:sz="4" w:space="0"/>
            </w:tcBorders>
            <w:vAlign w:val="center"/>
          </w:tcPr>
          <w:p>
            <w:pPr>
              <w:spacing w:line="360" w:lineRule="exact"/>
              <w:jc w:val="center"/>
              <w:rPr>
                <w:rFonts w:hint="eastAsia" w:eastAsia="宋体"/>
                <w:color w:val="000000"/>
                <w:szCs w:val="21"/>
                <w:lang w:eastAsia="zh-CN"/>
              </w:rPr>
            </w:pPr>
            <w:r>
              <w:rPr>
                <w:rFonts w:hint="eastAsia"/>
                <w:color w:val="000000"/>
                <w:szCs w:val="21"/>
                <w:lang w:val="en-US" w:eastAsia="zh-CN"/>
              </w:rPr>
              <w:t>6</w:t>
            </w:r>
          </w:p>
        </w:tc>
        <w:tc>
          <w:tcPr>
            <w:tcW w:w="1185" w:type="dxa"/>
            <w:tcBorders>
              <w:top w:val="single" w:color="auto" w:sz="4" w:space="0"/>
            </w:tcBorders>
            <w:vAlign w:val="center"/>
          </w:tcPr>
          <w:p>
            <w:pPr>
              <w:spacing w:line="300" w:lineRule="exact"/>
              <w:jc w:val="center"/>
              <w:rPr>
                <w:szCs w:val="21"/>
              </w:rPr>
            </w:pPr>
            <w:r>
              <w:rPr>
                <w:rFonts w:hint="eastAsia"/>
                <w:szCs w:val="21"/>
              </w:rPr>
              <w:t>业绩</w:t>
            </w:r>
          </w:p>
        </w:tc>
        <w:tc>
          <w:tcPr>
            <w:tcW w:w="765" w:type="dxa"/>
            <w:tcBorders>
              <w:top w:val="single" w:color="auto" w:sz="4" w:space="0"/>
              <w:bottom w:val="single" w:color="auto" w:sz="4" w:space="0"/>
            </w:tcBorders>
            <w:vAlign w:val="center"/>
          </w:tcPr>
          <w:p>
            <w:pPr>
              <w:spacing w:line="300" w:lineRule="exact"/>
              <w:jc w:val="center"/>
              <w:rPr>
                <w:rFonts w:hint="eastAsia" w:eastAsia="宋体"/>
                <w:color w:val="000000"/>
                <w:szCs w:val="21"/>
                <w:lang w:val="en-US" w:eastAsia="zh-CN"/>
              </w:rPr>
            </w:pPr>
            <w:r>
              <w:rPr>
                <w:rFonts w:hint="eastAsia"/>
                <w:color w:val="000000"/>
                <w:szCs w:val="21"/>
                <w:lang w:val="en-US" w:eastAsia="zh-CN"/>
              </w:rPr>
              <w:t>20</w:t>
            </w:r>
          </w:p>
        </w:tc>
        <w:tc>
          <w:tcPr>
            <w:tcW w:w="10328" w:type="dxa"/>
            <w:gridSpan w:val="6"/>
            <w:tcBorders>
              <w:top w:val="single" w:color="auto" w:sz="4" w:space="0"/>
              <w:bottom w:val="single" w:color="auto" w:sz="4" w:space="0"/>
            </w:tcBorders>
            <w:vAlign w:val="center"/>
          </w:tcPr>
          <w:p>
            <w:pPr>
              <w:spacing w:line="300" w:lineRule="exact"/>
              <w:rPr>
                <w:szCs w:val="21"/>
              </w:rPr>
            </w:pPr>
            <w:r>
              <w:rPr>
                <w:rFonts w:hint="eastAsia"/>
                <w:szCs w:val="21"/>
              </w:rPr>
              <w:t>投标人近2年内在全国范围内完成同类货物供货的污水处理项目累计供货量业绩（开标时须提供合同或验收报告原件查验，复印件加盖投标人公章附在投标文件中，不提供原件查验不得分）</w:t>
            </w:r>
          </w:p>
          <w:p>
            <w:pPr>
              <w:spacing w:line="300" w:lineRule="exact"/>
              <w:rPr>
                <w:szCs w:val="21"/>
                <w:highlight w:val="none"/>
              </w:rPr>
            </w:pPr>
            <w:r>
              <w:rPr>
                <w:rFonts w:hint="eastAsia"/>
                <w:szCs w:val="21"/>
              </w:rPr>
              <w:t>单过硫酸氢</w:t>
            </w:r>
            <w:r>
              <w:rPr>
                <w:rFonts w:hint="eastAsia"/>
                <w:szCs w:val="21"/>
                <w:highlight w:val="none"/>
              </w:rPr>
              <w:t>钾复合消毒粉 ≤45吨的得</w:t>
            </w:r>
            <w:r>
              <w:rPr>
                <w:rFonts w:hint="eastAsia"/>
                <w:szCs w:val="21"/>
                <w:highlight w:val="none"/>
                <w:lang w:val="en-US" w:eastAsia="zh-CN"/>
              </w:rPr>
              <w:t>8</w:t>
            </w:r>
            <w:r>
              <w:rPr>
                <w:rFonts w:hint="eastAsia"/>
                <w:szCs w:val="21"/>
                <w:highlight w:val="none"/>
              </w:rPr>
              <w:t>分；</w:t>
            </w:r>
          </w:p>
          <w:p>
            <w:pPr>
              <w:spacing w:line="300" w:lineRule="exact"/>
              <w:rPr>
                <w:szCs w:val="21"/>
                <w:highlight w:val="none"/>
              </w:rPr>
            </w:pPr>
            <w:r>
              <w:rPr>
                <w:rFonts w:hint="eastAsia"/>
                <w:szCs w:val="21"/>
                <w:highlight w:val="none"/>
              </w:rPr>
              <w:t>45吨＜单过硫酸氢钾复合消毒粉≤100吨的得</w:t>
            </w:r>
            <w:r>
              <w:rPr>
                <w:rFonts w:hint="eastAsia"/>
                <w:szCs w:val="21"/>
                <w:highlight w:val="none"/>
                <w:lang w:val="en-US" w:eastAsia="zh-CN"/>
              </w:rPr>
              <w:t>12</w:t>
            </w:r>
            <w:r>
              <w:rPr>
                <w:rFonts w:hint="eastAsia"/>
                <w:szCs w:val="21"/>
                <w:highlight w:val="none"/>
              </w:rPr>
              <w:t>分；</w:t>
            </w:r>
          </w:p>
          <w:p>
            <w:pPr>
              <w:spacing w:line="300" w:lineRule="exact"/>
              <w:rPr>
                <w:szCs w:val="21"/>
                <w:highlight w:val="none"/>
              </w:rPr>
            </w:pPr>
            <w:r>
              <w:rPr>
                <w:rFonts w:hint="eastAsia"/>
                <w:szCs w:val="21"/>
                <w:highlight w:val="none"/>
              </w:rPr>
              <w:t>100吨＜单过硫酸氢钾复合消毒粉≤200吨的得</w:t>
            </w:r>
            <w:r>
              <w:rPr>
                <w:rFonts w:hint="eastAsia"/>
                <w:szCs w:val="21"/>
                <w:highlight w:val="none"/>
                <w:lang w:val="en-US" w:eastAsia="zh-CN"/>
              </w:rPr>
              <w:t>16</w:t>
            </w:r>
            <w:r>
              <w:rPr>
                <w:rFonts w:hint="eastAsia"/>
                <w:szCs w:val="21"/>
                <w:highlight w:val="none"/>
              </w:rPr>
              <w:t>分；</w:t>
            </w:r>
          </w:p>
          <w:p>
            <w:pPr>
              <w:spacing w:line="300" w:lineRule="exact"/>
              <w:rPr>
                <w:szCs w:val="21"/>
              </w:rPr>
            </w:pPr>
            <w:r>
              <w:rPr>
                <w:rFonts w:hint="eastAsia"/>
                <w:szCs w:val="21"/>
                <w:highlight w:val="none"/>
              </w:rPr>
              <w:t>单过硫酸氢钾复合消毒粉＞200吨的得</w:t>
            </w:r>
            <w:r>
              <w:rPr>
                <w:rFonts w:hint="eastAsia"/>
                <w:szCs w:val="21"/>
                <w:highlight w:val="none"/>
                <w:lang w:val="en-US" w:eastAsia="zh-CN"/>
              </w:rPr>
              <w:t>20</w:t>
            </w:r>
            <w:r>
              <w:rPr>
                <w:rFonts w:hint="eastAsia"/>
                <w:szCs w:val="21"/>
                <w:highlight w:val="none"/>
              </w:rPr>
              <w:t>分；</w:t>
            </w:r>
          </w:p>
        </w:tc>
        <w:tc>
          <w:tcPr>
            <w:tcW w:w="1177" w:type="dxa"/>
            <w:tcBorders>
              <w:top w:val="single" w:color="auto" w:sz="4" w:space="0"/>
              <w:bottom w:val="single" w:color="auto" w:sz="4" w:space="0"/>
            </w:tcBorders>
            <w:vAlign w:val="center"/>
          </w:tcPr>
          <w:p>
            <w:pPr>
              <w:jc w:val="center"/>
              <w:rPr>
                <w:color w:val="000000"/>
                <w:szCs w:val="21"/>
              </w:rPr>
            </w:pPr>
          </w:p>
        </w:tc>
        <w:tc>
          <w:tcPr>
            <w:tcW w:w="1230" w:type="dxa"/>
            <w:tcBorders>
              <w:top w:val="single" w:color="auto" w:sz="4" w:space="0"/>
              <w:bottom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atLeast"/>
        </w:trPr>
        <w:tc>
          <w:tcPr>
            <w:tcW w:w="465" w:type="dxa"/>
            <w:tcBorders>
              <w:top w:val="single" w:color="auto" w:sz="4" w:space="0"/>
              <w:bottom w:val="single" w:color="auto" w:sz="4" w:space="0"/>
            </w:tcBorders>
            <w:vAlign w:val="center"/>
          </w:tcPr>
          <w:p>
            <w:pPr>
              <w:spacing w:line="360" w:lineRule="exact"/>
              <w:jc w:val="center"/>
              <w:rPr>
                <w:rFonts w:hint="eastAsia" w:eastAsia="宋体"/>
                <w:color w:val="000000"/>
                <w:szCs w:val="21"/>
                <w:lang w:val="en-US" w:eastAsia="zh-CN"/>
              </w:rPr>
            </w:pPr>
            <w:r>
              <w:rPr>
                <w:rFonts w:hint="eastAsia"/>
                <w:color w:val="000000"/>
                <w:szCs w:val="21"/>
                <w:lang w:val="en-US" w:eastAsia="zh-CN"/>
              </w:rPr>
              <w:t>7</w:t>
            </w:r>
          </w:p>
        </w:tc>
        <w:tc>
          <w:tcPr>
            <w:tcW w:w="1185" w:type="dxa"/>
            <w:tcBorders>
              <w:top w:val="single" w:color="auto" w:sz="4" w:space="0"/>
              <w:bottom w:val="single" w:color="auto" w:sz="4" w:space="0"/>
            </w:tcBorders>
            <w:vAlign w:val="center"/>
          </w:tcPr>
          <w:p>
            <w:pPr>
              <w:spacing w:line="300" w:lineRule="exact"/>
              <w:jc w:val="center"/>
              <w:rPr>
                <w:szCs w:val="21"/>
              </w:rPr>
            </w:pPr>
            <w:r>
              <w:rPr>
                <w:rFonts w:hint="eastAsia"/>
                <w:szCs w:val="21"/>
              </w:rPr>
              <w:t>技术方案</w:t>
            </w:r>
          </w:p>
        </w:tc>
        <w:tc>
          <w:tcPr>
            <w:tcW w:w="765" w:type="dxa"/>
            <w:tcBorders>
              <w:top w:val="single" w:color="auto" w:sz="4" w:space="0"/>
              <w:bottom w:val="single" w:color="auto" w:sz="4" w:space="0"/>
            </w:tcBorders>
            <w:vAlign w:val="center"/>
          </w:tcPr>
          <w:p>
            <w:pPr>
              <w:spacing w:line="300" w:lineRule="exact"/>
              <w:jc w:val="center"/>
              <w:rPr>
                <w:color w:val="000000"/>
                <w:szCs w:val="21"/>
              </w:rPr>
            </w:pPr>
            <w:r>
              <w:rPr>
                <w:rFonts w:hint="eastAsia"/>
                <w:color w:val="000000"/>
                <w:szCs w:val="21"/>
              </w:rPr>
              <w:t>8</w:t>
            </w:r>
          </w:p>
        </w:tc>
        <w:tc>
          <w:tcPr>
            <w:tcW w:w="6319" w:type="dxa"/>
            <w:tcBorders>
              <w:top w:val="single" w:color="auto" w:sz="4" w:space="0"/>
              <w:bottom w:val="single" w:color="auto" w:sz="4" w:space="0"/>
            </w:tcBorders>
            <w:vAlign w:val="center"/>
          </w:tcPr>
          <w:p>
            <w:pPr>
              <w:spacing w:line="300" w:lineRule="exact"/>
              <w:rPr>
                <w:szCs w:val="21"/>
              </w:rPr>
            </w:pPr>
            <w:r>
              <w:rPr>
                <w:rFonts w:hint="eastAsia" w:ascii="宋体" w:hAnsi="宋体"/>
                <w:color w:val="000000"/>
                <w:szCs w:val="21"/>
                <w:lang w:eastAsia="zh-CN"/>
              </w:rPr>
              <w:t>对比投标人的</w:t>
            </w:r>
            <w:r>
              <w:rPr>
                <w:rFonts w:hint="eastAsia" w:ascii="宋体" w:hAnsi="宋体"/>
                <w:color w:val="000000"/>
                <w:szCs w:val="21"/>
              </w:rPr>
              <w:t>技术方案（针对本项目有提供具体可行、详细的服务方案，完全满足项目的要求（</w:t>
            </w:r>
            <w:r>
              <w:rPr>
                <w:rFonts w:ascii="宋体" w:hAnsi="宋体"/>
                <w:color w:val="000000"/>
                <w:szCs w:val="21"/>
              </w:rPr>
              <w:t>设备安装</w:t>
            </w:r>
            <w:r>
              <w:rPr>
                <w:rFonts w:hint="eastAsia" w:ascii="宋体" w:hAnsi="宋体"/>
                <w:color w:val="000000"/>
                <w:szCs w:val="21"/>
              </w:rPr>
              <w:t>调试</w:t>
            </w:r>
            <w:r>
              <w:rPr>
                <w:rFonts w:ascii="宋体" w:hAnsi="宋体"/>
                <w:color w:val="000000"/>
                <w:szCs w:val="21"/>
              </w:rPr>
              <w:t>、</w:t>
            </w:r>
            <w:r>
              <w:rPr>
                <w:rFonts w:hint="eastAsia" w:ascii="宋体" w:hAnsi="宋体"/>
                <w:color w:val="000000"/>
                <w:szCs w:val="21"/>
              </w:rPr>
              <w:t>送样</w:t>
            </w:r>
            <w:r>
              <w:rPr>
                <w:rFonts w:ascii="宋体" w:hAnsi="宋体"/>
                <w:color w:val="000000"/>
                <w:szCs w:val="21"/>
              </w:rPr>
              <w:t>试生产、供货等</w:t>
            </w:r>
            <w:r>
              <w:rPr>
                <w:rFonts w:hint="eastAsia" w:ascii="宋体" w:hAnsi="宋体"/>
                <w:color w:val="000000"/>
                <w:szCs w:val="21"/>
              </w:rPr>
              <w:t>）</w:t>
            </w:r>
          </w:p>
        </w:tc>
        <w:tc>
          <w:tcPr>
            <w:tcW w:w="1134" w:type="dxa"/>
            <w:tcBorders>
              <w:top w:val="single" w:color="auto" w:sz="4" w:space="0"/>
              <w:bottom w:val="single" w:color="auto" w:sz="4" w:space="0"/>
            </w:tcBorders>
            <w:vAlign w:val="center"/>
          </w:tcPr>
          <w:p>
            <w:pPr>
              <w:spacing w:line="300" w:lineRule="exact"/>
              <w:jc w:val="center"/>
              <w:rPr>
                <w:rFonts w:hint="eastAsia" w:eastAsia="宋体"/>
                <w:szCs w:val="21"/>
                <w:lang w:val="en-US" w:eastAsia="zh-CN"/>
              </w:rPr>
            </w:pPr>
            <w:r>
              <w:rPr>
                <w:rFonts w:hint="eastAsia"/>
                <w:szCs w:val="21"/>
                <w:lang w:val="en-US" w:eastAsia="zh-CN"/>
              </w:rPr>
              <w:t>8</w:t>
            </w:r>
          </w:p>
        </w:tc>
        <w:tc>
          <w:tcPr>
            <w:tcW w:w="962" w:type="dxa"/>
            <w:tcBorders>
              <w:top w:val="single" w:color="auto" w:sz="4" w:space="0"/>
              <w:bottom w:val="single" w:color="auto" w:sz="4" w:space="0"/>
            </w:tcBorders>
            <w:vAlign w:val="center"/>
          </w:tcPr>
          <w:p>
            <w:pPr>
              <w:spacing w:line="300" w:lineRule="exact"/>
              <w:jc w:val="center"/>
              <w:rPr>
                <w:rFonts w:hint="eastAsia" w:eastAsia="宋体"/>
                <w:szCs w:val="21"/>
                <w:lang w:val="en-US" w:eastAsia="zh-CN"/>
              </w:rPr>
            </w:pPr>
            <w:r>
              <w:rPr>
                <w:rFonts w:hint="eastAsia"/>
                <w:szCs w:val="21"/>
                <w:lang w:val="en-US" w:eastAsia="zh-CN"/>
              </w:rPr>
              <w:t>6.4</w:t>
            </w:r>
          </w:p>
        </w:tc>
        <w:tc>
          <w:tcPr>
            <w:tcW w:w="960" w:type="dxa"/>
            <w:gridSpan w:val="2"/>
            <w:tcBorders>
              <w:top w:val="single" w:color="auto" w:sz="4" w:space="0"/>
              <w:bottom w:val="single" w:color="auto" w:sz="4" w:space="0"/>
            </w:tcBorders>
            <w:vAlign w:val="center"/>
          </w:tcPr>
          <w:p>
            <w:pPr>
              <w:spacing w:line="300" w:lineRule="exact"/>
              <w:jc w:val="center"/>
              <w:rPr>
                <w:rFonts w:hint="eastAsia" w:eastAsia="宋体"/>
                <w:szCs w:val="21"/>
                <w:lang w:val="en-US" w:eastAsia="zh-CN"/>
              </w:rPr>
            </w:pPr>
            <w:r>
              <w:rPr>
                <w:rFonts w:hint="eastAsia"/>
                <w:szCs w:val="21"/>
                <w:lang w:val="en-US" w:eastAsia="zh-CN"/>
              </w:rPr>
              <w:t>4.8</w:t>
            </w:r>
          </w:p>
        </w:tc>
        <w:tc>
          <w:tcPr>
            <w:tcW w:w="953" w:type="dxa"/>
            <w:tcBorders>
              <w:top w:val="single" w:color="auto" w:sz="4" w:space="0"/>
              <w:bottom w:val="single" w:color="auto" w:sz="4" w:space="0"/>
            </w:tcBorders>
            <w:vAlign w:val="center"/>
          </w:tcPr>
          <w:p>
            <w:pPr>
              <w:spacing w:line="300" w:lineRule="exact"/>
              <w:jc w:val="center"/>
              <w:rPr>
                <w:rFonts w:hint="eastAsia" w:eastAsia="宋体"/>
                <w:szCs w:val="21"/>
                <w:lang w:val="en-US" w:eastAsia="zh-CN"/>
              </w:rPr>
            </w:pPr>
            <w:r>
              <w:rPr>
                <w:rFonts w:hint="eastAsia"/>
                <w:szCs w:val="21"/>
                <w:lang w:val="en-US" w:eastAsia="zh-CN"/>
              </w:rPr>
              <w:t>3.2</w:t>
            </w:r>
          </w:p>
        </w:tc>
        <w:tc>
          <w:tcPr>
            <w:tcW w:w="1177" w:type="dxa"/>
            <w:tcBorders>
              <w:top w:val="single" w:color="auto" w:sz="4" w:space="0"/>
              <w:bottom w:val="single" w:color="auto" w:sz="4" w:space="0"/>
            </w:tcBorders>
            <w:vAlign w:val="center"/>
          </w:tcPr>
          <w:p>
            <w:pPr>
              <w:jc w:val="center"/>
              <w:rPr>
                <w:color w:val="000000"/>
                <w:szCs w:val="21"/>
              </w:rPr>
            </w:pPr>
          </w:p>
        </w:tc>
        <w:tc>
          <w:tcPr>
            <w:tcW w:w="1230" w:type="dxa"/>
            <w:tcBorders>
              <w:top w:val="single" w:color="auto" w:sz="4" w:space="0"/>
              <w:bottom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3" w:hRule="atLeast"/>
        </w:trPr>
        <w:tc>
          <w:tcPr>
            <w:tcW w:w="465" w:type="dxa"/>
            <w:tcBorders>
              <w:top w:val="single" w:color="auto" w:sz="4" w:space="0"/>
              <w:bottom w:val="single" w:color="auto" w:sz="4" w:space="0"/>
            </w:tcBorders>
            <w:vAlign w:val="center"/>
          </w:tcPr>
          <w:p>
            <w:pPr>
              <w:spacing w:line="360" w:lineRule="exact"/>
              <w:jc w:val="center"/>
              <w:rPr>
                <w:rFonts w:hint="eastAsia" w:eastAsia="宋体"/>
                <w:color w:val="000000"/>
                <w:szCs w:val="21"/>
                <w:lang w:val="en-US" w:eastAsia="zh-CN"/>
              </w:rPr>
            </w:pPr>
            <w:r>
              <w:rPr>
                <w:rFonts w:hint="eastAsia"/>
                <w:color w:val="000000"/>
                <w:szCs w:val="21"/>
                <w:lang w:val="en-US" w:eastAsia="zh-CN"/>
              </w:rPr>
              <w:t>8</w:t>
            </w:r>
          </w:p>
        </w:tc>
        <w:tc>
          <w:tcPr>
            <w:tcW w:w="1185" w:type="dxa"/>
            <w:tcBorders>
              <w:top w:val="single" w:color="auto" w:sz="4" w:space="0"/>
              <w:bottom w:val="single" w:color="auto" w:sz="4" w:space="0"/>
            </w:tcBorders>
            <w:vAlign w:val="center"/>
          </w:tcPr>
          <w:p>
            <w:pPr>
              <w:spacing w:line="300" w:lineRule="exact"/>
              <w:jc w:val="center"/>
              <w:rPr>
                <w:szCs w:val="21"/>
              </w:rPr>
            </w:pPr>
            <w:r>
              <w:rPr>
                <w:rFonts w:hint="eastAsia"/>
                <w:szCs w:val="21"/>
              </w:rPr>
              <w:t>配套设备</w:t>
            </w:r>
          </w:p>
        </w:tc>
        <w:tc>
          <w:tcPr>
            <w:tcW w:w="765" w:type="dxa"/>
            <w:tcBorders>
              <w:top w:val="single" w:color="auto" w:sz="4" w:space="0"/>
              <w:bottom w:val="single" w:color="auto" w:sz="4" w:space="0"/>
            </w:tcBorders>
            <w:vAlign w:val="center"/>
          </w:tcPr>
          <w:p>
            <w:pPr>
              <w:spacing w:line="300" w:lineRule="exact"/>
              <w:jc w:val="center"/>
              <w:rPr>
                <w:color w:val="000000"/>
                <w:szCs w:val="21"/>
              </w:rPr>
            </w:pPr>
            <w:r>
              <w:rPr>
                <w:rFonts w:hint="eastAsia"/>
                <w:color w:val="000000"/>
                <w:szCs w:val="21"/>
              </w:rPr>
              <w:t>10</w:t>
            </w:r>
          </w:p>
        </w:tc>
        <w:tc>
          <w:tcPr>
            <w:tcW w:w="6319" w:type="dxa"/>
            <w:tcBorders>
              <w:top w:val="single" w:color="auto" w:sz="4" w:space="0"/>
            </w:tcBorders>
            <w:vAlign w:val="center"/>
          </w:tcPr>
          <w:p>
            <w:pPr>
              <w:spacing w:line="300" w:lineRule="exact"/>
              <w:rPr>
                <w:szCs w:val="21"/>
              </w:rPr>
            </w:pPr>
            <w:r>
              <w:rPr>
                <w:rFonts w:hint="eastAsia" w:ascii="宋体" w:hAnsi="宋体"/>
                <w:color w:val="000000"/>
                <w:szCs w:val="21"/>
                <w:lang w:eastAsia="zh-CN"/>
              </w:rPr>
              <w:t>对比投标人的</w:t>
            </w:r>
            <w:r>
              <w:rPr>
                <w:rFonts w:hint="eastAsia" w:ascii="宋体" w:hAnsi="宋体"/>
                <w:color w:val="000000"/>
                <w:szCs w:val="21"/>
              </w:rPr>
              <w:t>产品配套</w:t>
            </w:r>
            <w:r>
              <w:rPr>
                <w:rFonts w:ascii="宋体" w:hAnsi="宋体"/>
                <w:color w:val="000000"/>
                <w:szCs w:val="21"/>
              </w:rPr>
              <w:t>设备</w:t>
            </w:r>
            <w:r>
              <w:rPr>
                <w:rFonts w:hint="eastAsia" w:ascii="宋体" w:hAnsi="宋体"/>
                <w:color w:val="000000"/>
                <w:szCs w:val="21"/>
              </w:rPr>
              <w:t>（针对</w:t>
            </w:r>
            <w:r>
              <w:rPr>
                <w:rFonts w:ascii="宋体" w:hAnsi="宋体"/>
                <w:color w:val="000000"/>
                <w:szCs w:val="21"/>
              </w:rPr>
              <w:t>产品使用配套快速</w:t>
            </w:r>
            <w:r>
              <w:rPr>
                <w:rFonts w:hint="eastAsia" w:ascii="宋体" w:hAnsi="宋体"/>
                <w:color w:val="000000"/>
                <w:szCs w:val="21"/>
              </w:rPr>
              <w:t>溶解</w:t>
            </w:r>
            <w:r>
              <w:rPr>
                <w:rFonts w:ascii="宋体" w:hAnsi="宋体"/>
                <w:color w:val="000000"/>
                <w:szCs w:val="21"/>
              </w:rPr>
              <w:t>设备</w:t>
            </w:r>
            <w:r>
              <w:rPr>
                <w:rFonts w:hint="eastAsia" w:ascii="宋体" w:hAnsi="宋体"/>
                <w:color w:val="000000"/>
                <w:szCs w:val="21"/>
              </w:rPr>
              <w:t>的易用性</w:t>
            </w:r>
            <w:r>
              <w:rPr>
                <w:rFonts w:ascii="宋体" w:hAnsi="宋体"/>
                <w:color w:val="000000"/>
                <w:szCs w:val="21"/>
              </w:rPr>
              <w:t>、可靠性</w:t>
            </w:r>
            <w:r>
              <w:rPr>
                <w:rFonts w:hint="eastAsia" w:ascii="宋体" w:hAnsi="宋体"/>
                <w:color w:val="000000"/>
                <w:szCs w:val="21"/>
              </w:rPr>
              <w:t>、节能程度以及</w:t>
            </w:r>
            <w:r>
              <w:rPr>
                <w:rFonts w:ascii="宋体" w:hAnsi="宋体"/>
                <w:color w:val="000000"/>
                <w:szCs w:val="21"/>
              </w:rPr>
              <w:t>性能参数满足要求程度</w:t>
            </w:r>
            <w:r>
              <w:rPr>
                <w:rFonts w:hint="eastAsia" w:ascii="宋体" w:hAnsi="宋体"/>
                <w:color w:val="000000"/>
                <w:szCs w:val="21"/>
              </w:rPr>
              <w:t>。）</w:t>
            </w:r>
          </w:p>
        </w:tc>
        <w:tc>
          <w:tcPr>
            <w:tcW w:w="1134" w:type="dxa"/>
            <w:tcBorders>
              <w:top w:val="single" w:color="auto" w:sz="4" w:space="0"/>
            </w:tcBorders>
            <w:vAlign w:val="center"/>
          </w:tcPr>
          <w:p>
            <w:pPr>
              <w:spacing w:line="300" w:lineRule="exact"/>
              <w:jc w:val="center"/>
              <w:rPr>
                <w:szCs w:val="21"/>
              </w:rPr>
            </w:pPr>
            <w:r>
              <w:rPr>
                <w:rFonts w:hint="eastAsia"/>
                <w:szCs w:val="21"/>
                <w:lang w:val="en-US" w:eastAsia="zh-CN"/>
              </w:rPr>
              <w:t>10</w:t>
            </w:r>
          </w:p>
        </w:tc>
        <w:tc>
          <w:tcPr>
            <w:tcW w:w="962" w:type="dxa"/>
            <w:tcBorders>
              <w:top w:val="single" w:color="auto" w:sz="4" w:space="0"/>
            </w:tcBorders>
            <w:vAlign w:val="center"/>
          </w:tcPr>
          <w:p>
            <w:pPr>
              <w:spacing w:line="300" w:lineRule="exact"/>
              <w:jc w:val="center"/>
              <w:rPr>
                <w:szCs w:val="21"/>
              </w:rPr>
            </w:pPr>
            <w:r>
              <w:rPr>
                <w:rFonts w:hint="eastAsia"/>
                <w:szCs w:val="21"/>
                <w:lang w:val="en-US" w:eastAsia="zh-CN"/>
              </w:rPr>
              <w:t>8</w:t>
            </w:r>
          </w:p>
        </w:tc>
        <w:tc>
          <w:tcPr>
            <w:tcW w:w="960" w:type="dxa"/>
            <w:gridSpan w:val="2"/>
            <w:tcBorders>
              <w:top w:val="single" w:color="auto" w:sz="4" w:space="0"/>
            </w:tcBorders>
            <w:vAlign w:val="center"/>
          </w:tcPr>
          <w:p>
            <w:pPr>
              <w:spacing w:line="300" w:lineRule="exact"/>
              <w:jc w:val="center"/>
              <w:rPr>
                <w:szCs w:val="21"/>
              </w:rPr>
            </w:pPr>
            <w:r>
              <w:rPr>
                <w:rFonts w:hint="eastAsia"/>
                <w:szCs w:val="21"/>
                <w:lang w:val="en-US" w:eastAsia="zh-CN"/>
              </w:rPr>
              <w:t>6</w:t>
            </w:r>
          </w:p>
        </w:tc>
        <w:tc>
          <w:tcPr>
            <w:tcW w:w="953" w:type="dxa"/>
            <w:tcBorders>
              <w:top w:val="single" w:color="auto" w:sz="4" w:space="0"/>
            </w:tcBorders>
            <w:vAlign w:val="center"/>
          </w:tcPr>
          <w:p>
            <w:pPr>
              <w:spacing w:line="300" w:lineRule="exact"/>
              <w:jc w:val="center"/>
              <w:rPr>
                <w:szCs w:val="21"/>
              </w:rPr>
            </w:pPr>
            <w:r>
              <w:rPr>
                <w:rFonts w:hint="eastAsia"/>
                <w:szCs w:val="21"/>
                <w:lang w:val="en-US" w:eastAsia="zh-CN"/>
              </w:rPr>
              <w:t>4</w:t>
            </w:r>
          </w:p>
        </w:tc>
        <w:tc>
          <w:tcPr>
            <w:tcW w:w="1177" w:type="dxa"/>
            <w:tcBorders>
              <w:top w:val="single" w:color="auto" w:sz="4" w:space="0"/>
            </w:tcBorders>
            <w:vAlign w:val="center"/>
          </w:tcPr>
          <w:p>
            <w:pPr>
              <w:jc w:val="center"/>
              <w:rPr>
                <w:color w:val="000000"/>
                <w:szCs w:val="21"/>
              </w:rPr>
            </w:pPr>
          </w:p>
        </w:tc>
        <w:tc>
          <w:tcPr>
            <w:tcW w:w="1230" w:type="dxa"/>
            <w:tcBorders>
              <w:top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3" w:hRule="atLeast"/>
        </w:trPr>
        <w:tc>
          <w:tcPr>
            <w:tcW w:w="465" w:type="dxa"/>
            <w:tcBorders>
              <w:top w:val="single" w:color="auto" w:sz="4" w:space="0"/>
              <w:bottom w:val="single" w:color="auto" w:sz="4" w:space="0"/>
            </w:tcBorders>
            <w:vAlign w:val="center"/>
          </w:tcPr>
          <w:p>
            <w:pPr>
              <w:spacing w:line="360" w:lineRule="exact"/>
              <w:jc w:val="center"/>
              <w:rPr>
                <w:rFonts w:hint="eastAsia" w:eastAsia="宋体"/>
                <w:color w:val="000000"/>
                <w:szCs w:val="21"/>
                <w:lang w:val="en-US" w:eastAsia="zh-CN"/>
              </w:rPr>
            </w:pPr>
            <w:r>
              <w:rPr>
                <w:rFonts w:hint="eastAsia"/>
                <w:color w:val="000000"/>
                <w:szCs w:val="21"/>
                <w:lang w:val="en-US" w:eastAsia="zh-CN"/>
              </w:rPr>
              <w:t>9</w:t>
            </w:r>
          </w:p>
        </w:tc>
        <w:tc>
          <w:tcPr>
            <w:tcW w:w="1185" w:type="dxa"/>
            <w:tcBorders>
              <w:top w:val="single" w:color="auto" w:sz="4" w:space="0"/>
              <w:bottom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产品</w:t>
            </w:r>
          </w:p>
          <w:p>
            <w:pPr>
              <w:spacing w:line="300" w:lineRule="exact"/>
              <w:jc w:val="center"/>
              <w:rPr>
                <w:szCs w:val="21"/>
              </w:rPr>
            </w:pPr>
            <w:r>
              <w:rPr>
                <w:rFonts w:hint="eastAsia" w:ascii="宋体" w:hAnsi="宋体"/>
                <w:color w:val="000000"/>
                <w:szCs w:val="21"/>
              </w:rPr>
              <w:t>可靠性</w:t>
            </w:r>
          </w:p>
        </w:tc>
        <w:tc>
          <w:tcPr>
            <w:tcW w:w="765" w:type="dxa"/>
            <w:tcBorders>
              <w:top w:val="single" w:color="auto" w:sz="4" w:space="0"/>
              <w:bottom w:val="single" w:color="auto" w:sz="4" w:space="0"/>
            </w:tcBorders>
            <w:vAlign w:val="center"/>
          </w:tcPr>
          <w:p>
            <w:pPr>
              <w:spacing w:line="300" w:lineRule="exact"/>
              <w:jc w:val="center"/>
              <w:rPr>
                <w:color w:val="000000"/>
                <w:szCs w:val="21"/>
              </w:rPr>
            </w:pPr>
            <w:r>
              <w:rPr>
                <w:rFonts w:hint="eastAsia"/>
                <w:color w:val="000000"/>
                <w:szCs w:val="21"/>
              </w:rPr>
              <w:t>5</w:t>
            </w:r>
          </w:p>
        </w:tc>
        <w:tc>
          <w:tcPr>
            <w:tcW w:w="6319" w:type="dxa"/>
            <w:tcBorders>
              <w:top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对比</w:t>
            </w:r>
            <w:r>
              <w:rPr>
                <w:rFonts w:hint="eastAsia" w:ascii="宋体" w:hAnsi="宋体"/>
                <w:color w:val="000000"/>
                <w:szCs w:val="21"/>
                <w:lang w:eastAsia="zh-CN"/>
              </w:rPr>
              <w:t>投标人的</w:t>
            </w:r>
            <w:r>
              <w:rPr>
                <w:rFonts w:hint="eastAsia" w:ascii="宋体" w:hAnsi="宋体"/>
                <w:color w:val="000000"/>
                <w:szCs w:val="21"/>
              </w:rPr>
              <w:t>产品可靠程度，安全性，环保性，品牌成熟性。</w:t>
            </w:r>
          </w:p>
        </w:tc>
        <w:tc>
          <w:tcPr>
            <w:tcW w:w="1134" w:type="dxa"/>
            <w:tcBorders>
              <w:top w:val="single" w:color="auto" w:sz="4" w:space="0"/>
            </w:tcBorders>
            <w:vAlign w:val="center"/>
          </w:tcPr>
          <w:p>
            <w:pPr>
              <w:spacing w:line="300" w:lineRule="exact"/>
              <w:jc w:val="center"/>
              <w:rPr>
                <w:szCs w:val="21"/>
              </w:rPr>
            </w:pPr>
            <w:r>
              <w:rPr>
                <w:rFonts w:hint="eastAsia"/>
                <w:szCs w:val="21"/>
                <w:lang w:val="en-US" w:eastAsia="zh-CN"/>
              </w:rPr>
              <w:t>5</w:t>
            </w:r>
          </w:p>
        </w:tc>
        <w:tc>
          <w:tcPr>
            <w:tcW w:w="962" w:type="dxa"/>
            <w:tcBorders>
              <w:top w:val="single" w:color="auto" w:sz="4" w:space="0"/>
            </w:tcBorders>
            <w:vAlign w:val="center"/>
          </w:tcPr>
          <w:p>
            <w:pPr>
              <w:spacing w:line="300" w:lineRule="exact"/>
              <w:jc w:val="center"/>
              <w:rPr>
                <w:szCs w:val="21"/>
              </w:rPr>
            </w:pPr>
            <w:r>
              <w:rPr>
                <w:rFonts w:hint="eastAsia"/>
                <w:szCs w:val="21"/>
                <w:lang w:val="en-US" w:eastAsia="zh-CN"/>
              </w:rPr>
              <w:t>4</w:t>
            </w:r>
          </w:p>
        </w:tc>
        <w:tc>
          <w:tcPr>
            <w:tcW w:w="960" w:type="dxa"/>
            <w:gridSpan w:val="2"/>
            <w:tcBorders>
              <w:top w:val="single" w:color="auto" w:sz="4" w:space="0"/>
            </w:tcBorders>
            <w:vAlign w:val="center"/>
          </w:tcPr>
          <w:p>
            <w:pPr>
              <w:spacing w:line="300" w:lineRule="exact"/>
              <w:jc w:val="center"/>
              <w:rPr>
                <w:szCs w:val="21"/>
              </w:rPr>
            </w:pPr>
            <w:r>
              <w:rPr>
                <w:rFonts w:hint="eastAsia"/>
                <w:szCs w:val="21"/>
                <w:lang w:val="en-US" w:eastAsia="zh-CN"/>
              </w:rPr>
              <w:t>3</w:t>
            </w:r>
          </w:p>
        </w:tc>
        <w:tc>
          <w:tcPr>
            <w:tcW w:w="953" w:type="dxa"/>
            <w:tcBorders>
              <w:top w:val="single" w:color="auto" w:sz="4" w:space="0"/>
            </w:tcBorders>
            <w:vAlign w:val="center"/>
          </w:tcPr>
          <w:p>
            <w:pPr>
              <w:spacing w:line="300" w:lineRule="exact"/>
              <w:jc w:val="center"/>
              <w:rPr>
                <w:szCs w:val="21"/>
              </w:rPr>
            </w:pPr>
            <w:r>
              <w:rPr>
                <w:rFonts w:hint="eastAsia"/>
                <w:szCs w:val="21"/>
                <w:lang w:val="en-US" w:eastAsia="zh-CN"/>
              </w:rPr>
              <w:t>2</w:t>
            </w:r>
          </w:p>
        </w:tc>
        <w:tc>
          <w:tcPr>
            <w:tcW w:w="1177" w:type="dxa"/>
            <w:tcBorders>
              <w:top w:val="single" w:color="auto" w:sz="4" w:space="0"/>
            </w:tcBorders>
            <w:vAlign w:val="center"/>
          </w:tcPr>
          <w:p>
            <w:pPr>
              <w:jc w:val="center"/>
              <w:rPr>
                <w:color w:val="000000"/>
                <w:szCs w:val="21"/>
              </w:rPr>
            </w:pPr>
          </w:p>
        </w:tc>
        <w:tc>
          <w:tcPr>
            <w:tcW w:w="1230" w:type="dxa"/>
            <w:tcBorders>
              <w:top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74" w:hRule="atLeast"/>
        </w:trPr>
        <w:tc>
          <w:tcPr>
            <w:tcW w:w="465" w:type="dxa"/>
            <w:tcBorders>
              <w:bottom w:val="single" w:color="auto" w:sz="4" w:space="0"/>
            </w:tcBorders>
            <w:vAlign w:val="center"/>
          </w:tcPr>
          <w:p>
            <w:pPr>
              <w:jc w:val="center"/>
              <w:rPr>
                <w:rFonts w:hint="eastAsia" w:eastAsia="宋体"/>
                <w:color w:val="000000"/>
                <w:szCs w:val="21"/>
                <w:lang w:val="en-US" w:eastAsia="zh-CN"/>
              </w:rPr>
            </w:pPr>
            <w:r>
              <w:rPr>
                <w:rFonts w:hint="eastAsia"/>
                <w:color w:val="000000"/>
                <w:szCs w:val="21"/>
                <w:lang w:val="en-US" w:eastAsia="zh-CN"/>
              </w:rPr>
              <w:t>10</w:t>
            </w:r>
          </w:p>
        </w:tc>
        <w:tc>
          <w:tcPr>
            <w:tcW w:w="1185" w:type="dxa"/>
            <w:tcBorders>
              <w:bottom w:val="single" w:color="auto" w:sz="4" w:space="0"/>
            </w:tcBorders>
            <w:vAlign w:val="center"/>
          </w:tcPr>
          <w:p>
            <w:pPr>
              <w:spacing w:line="300" w:lineRule="exact"/>
              <w:jc w:val="center"/>
              <w:rPr>
                <w:color w:val="000000"/>
                <w:szCs w:val="21"/>
              </w:rPr>
            </w:pPr>
            <w:r>
              <w:rPr>
                <w:rFonts w:hint="eastAsia" w:ascii="宋体" w:hAnsi="宋体"/>
                <w:color w:val="000000"/>
                <w:szCs w:val="21"/>
              </w:rPr>
              <w:t>药剂</w:t>
            </w:r>
            <w:r>
              <w:rPr>
                <w:rFonts w:ascii="宋体" w:hAnsi="宋体"/>
                <w:color w:val="000000"/>
                <w:szCs w:val="21"/>
              </w:rPr>
              <w:t>消耗量</w:t>
            </w:r>
          </w:p>
        </w:tc>
        <w:tc>
          <w:tcPr>
            <w:tcW w:w="765" w:type="dxa"/>
            <w:tcBorders>
              <w:bottom w:val="single" w:color="auto" w:sz="4" w:space="0"/>
            </w:tcBorders>
            <w:vAlign w:val="center"/>
          </w:tcPr>
          <w:p>
            <w:pPr>
              <w:spacing w:line="300" w:lineRule="exact"/>
              <w:jc w:val="center"/>
              <w:rPr>
                <w:color w:val="000000"/>
                <w:szCs w:val="21"/>
              </w:rPr>
            </w:pPr>
            <w:r>
              <w:rPr>
                <w:rFonts w:hint="eastAsia"/>
                <w:color w:val="000000"/>
                <w:szCs w:val="21"/>
              </w:rPr>
              <w:t>5</w:t>
            </w:r>
          </w:p>
        </w:tc>
        <w:tc>
          <w:tcPr>
            <w:tcW w:w="10328" w:type="dxa"/>
            <w:gridSpan w:val="6"/>
            <w:tcBorders>
              <w:top w:val="single" w:color="auto" w:sz="4" w:space="0"/>
            </w:tcBorders>
            <w:vAlign w:val="center"/>
          </w:tcPr>
          <w:p>
            <w:pPr>
              <w:spacing w:line="300" w:lineRule="exact"/>
              <w:rPr>
                <w:color w:val="000000"/>
                <w:szCs w:val="21"/>
              </w:rPr>
            </w:pPr>
            <w:r>
              <w:rPr>
                <w:rFonts w:hint="eastAsia" w:ascii="宋体" w:hAnsi="宋体"/>
                <w:color w:val="000000"/>
                <w:szCs w:val="21"/>
              </w:rPr>
              <w:t>单过硫酸氢钾复合消毒粉药剂消毒每吨污水消耗的量，满分为5分，以各个投标人</w:t>
            </w:r>
            <w:r>
              <w:rPr>
                <w:rFonts w:ascii="宋体" w:hAnsi="宋体"/>
                <w:color w:val="000000"/>
                <w:szCs w:val="21"/>
              </w:rPr>
              <w:t>中</w:t>
            </w:r>
            <w:r>
              <w:rPr>
                <w:rFonts w:hint="eastAsia" w:ascii="宋体" w:hAnsi="宋体"/>
                <w:color w:val="000000"/>
                <w:szCs w:val="21"/>
              </w:rPr>
              <w:t>所</w:t>
            </w:r>
            <w:r>
              <w:rPr>
                <w:rFonts w:ascii="宋体" w:hAnsi="宋体"/>
                <w:color w:val="000000"/>
                <w:szCs w:val="21"/>
              </w:rPr>
              <w:t>响应能够达到的最低的消耗量为</w:t>
            </w:r>
            <w:r>
              <w:rPr>
                <w:rFonts w:hint="eastAsia" w:ascii="宋体" w:hAnsi="宋体"/>
                <w:color w:val="000000"/>
                <w:szCs w:val="21"/>
              </w:rPr>
              <w:t>标准值</w:t>
            </w:r>
            <w:r>
              <w:rPr>
                <w:rFonts w:ascii="宋体" w:hAnsi="宋体"/>
                <w:color w:val="000000"/>
                <w:szCs w:val="21"/>
              </w:rPr>
              <w:t>，</w:t>
            </w:r>
            <w:r>
              <w:rPr>
                <w:rFonts w:hint="eastAsia" w:ascii="宋体" w:hAnsi="宋体"/>
                <w:color w:val="000000"/>
                <w:szCs w:val="21"/>
              </w:rPr>
              <w:t>投标人</w:t>
            </w:r>
            <w:r>
              <w:rPr>
                <w:rFonts w:ascii="宋体" w:hAnsi="宋体"/>
                <w:color w:val="000000"/>
                <w:szCs w:val="21"/>
              </w:rPr>
              <w:t>得分=标准值</w:t>
            </w:r>
            <w:r>
              <w:rPr>
                <w:rFonts w:hint="eastAsia" w:ascii="宋体" w:hAnsi="宋体"/>
                <w:color w:val="000000"/>
                <w:szCs w:val="21"/>
              </w:rPr>
              <w:t>/投标人</w:t>
            </w:r>
            <w:r>
              <w:rPr>
                <w:rFonts w:ascii="宋体" w:hAnsi="宋体"/>
                <w:color w:val="000000"/>
                <w:szCs w:val="21"/>
              </w:rPr>
              <w:t>响应值</w:t>
            </w:r>
            <w:r>
              <w:rPr>
                <w:rFonts w:hint="eastAsia" w:ascii="宋体" w:hAnsi="宋体"/>
                <w:color w:val="000000"/>
                <w:szCs w:val="21"/>
              </w:rPr>
              <w:t>×5，</w:t>
            </w:r>
            <w:r>
              <w:rPr>
                <w:rFonts w:ascii="宋体" w:hAnsi="宋体"/>
                <w:color w:val="000000"/>
                <w:szCs w:val="21"/>
              </w:rPr>
              <w:t>结果保留</w:t>
            </w:r>
            <w:r>
              <w:rPr>
                <w:rFonts w:hint="eastAsia" w:ascii="宋体" w:hAnsi="宋体"/>
                <w:color w:val="000000"/>
                <w:szCs w:val="21"/>
              </w:rPr>
              <w:t>1位小数。</w:t>
            </w:r>
          </w:p>
        </w:tc>
        <w:tc>
          <w:tcPr>
            <w:tcW w:w="1177" w:type="dxa"/>
            <w:tcBorders>
              <w:top w:val="single" w:color="auto" w:sz="4" w:space="0"/>
            </w:tcBorders>
            <w:vAlign w:val="center"/>
          </w:tcPr>
          <w:p>
            <w:pPr>
              <w:jc w:val="center"/>
              <w:rPr>
                <w:color w:val="000000"/>
                <w:szCs w:val="21"/>
              </w:rPr>
            </w:pPr>
          </w:p>
        </w:tc>
        <w:tc>
          <w:tcPr>
            <w:tcW w:w="1230" w:type="dxa"/>
            <w:tcBorders>
              <w:top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31" w:hRule="atLeast"/>
        </w:trPr>
        <w:tc>
          <w:tcPr>
            <w:tcW w:w="465" w:type="dxa"/>
            <w:vAlign w:val="center"/>
          </w:tcPr>
          <w:p>
            <w:pPr>
              <w:jc w:val="center"/>
              <w:rPr>
                <w:rFonts w:hint="eastAsia" w:eastAsia="宋体"/>
                <w:color w:val="000000"/>
                <w:szCs w:val="21"/>
                <w:lang w:val="en-US" w:eastAsia="zh-CN"/>
              </w:rPr>
            </w:pPr>
            <w:r>
              <w:rPr>
                <w:rFonts w:hint="eastAsia"/>
                <w:color w:val="000000"/>
                <w:szCs w:val="21"/>
                <w:lang w:val="en-US" w:eastAsia="zh-CN"/>
              </w:rPr>
              <w:t>11</w:t>
            </w:r>
          </w:p>
        </w:tc>
        <w:tc>
          <w:tcPr>
            <w:tcW w:w="1185" w:type="dxa"/>
            <w:vAlign w:val="center"/>
          </w:tcPr>
          <w:p>
            <w:pPr>
              <w:spacing w:line="300" w:lineRule="exact"/>
              <w:jc w:val="center"/>
              <w:rPr>
                <w:bCs/>
                <w:color w:val="000000"/>
                <w:szCs w:val="21"/>
              </w:rPr>
            </w:pPr>
            <w:r>
              <w:rPr>
                <w:rFonts w:hint="eastAsia" w:ascii="宋体" w:hAnsi="宋体"/>
                <w:color w:val="000000"/>
                <w:szCs w:val="21"/>
              </w:rPr>
              <w:t>使用</w:t>
            </w:r>
            <w:r>
              <w:rPr>
                <w:rFonts w:ascii="宋体" w:hAnsi="宋体"/>
                <w:color w:val="000000"/>
                <w:szCs w:val="21"/>
              </w:rPr>
              <w:t>成本</w:t>
            </w:r>
          </w:p>
        </w:tc>
        <w:tc>
          <w:tcPr>
            <w:tcW w:w="765" w:type="dxa"/>
            <w:vAlign w:val="center"/>
          </w:tcPr>
          <w:p>
            <w:pPr>
              <w:spacing w:line="300" w:lineRule="exact"/>
              <w:jc w:val="center"/>
              <w:rPr>
                <w:color w:val="000000"/>
                <w:szCs w:val="21"/>
              </w:rPr>
            </w:pPr>
            <w:r>
              <w:rPr>
                <w:rFonts w:hint="eastAsia"/>
                <w:color w:val="000000"/>
                <w:szCs w:val="21"/>
              </w:rPr>
              <w:t>5</w:t>
            </w:r>
          </w:p>
        </w:tc>
        <w:tc>
          <w:tcPr>
            <w:tcW w:w="10328" w:type="dxa"/>
            <w:gridSpan w:val="6"/>
            <w:vAlign w:val="center"/>
          </w:tcPr>
          <w:p>
            <w:pPr>
              <w:spacing w:line="300" w:lineRule="exact"/>
              <w:rPr>
                <w:color w:val="000000"/>
                <w:szCs w:val="21"/>
              </w:rPr>
            </w:pPr>
            <w:r>
              <w:rPr>
                <w:rFonts w:hint="eastAsia" w:ascii="宋体" w:hAnsi="宋体"/>
                <w:color w:val="000000"/>
                <w:szCs w:val="21"/>
              </w:rPr>
              <w:t>单过硫酸氢钾复合消毒粉每吨水消毒的成本，满分为5分，以各个投标人</w:t>
            </w:r>
            <w:r>
              <w:rPr>
                <w:rFonts w:ascii="宋体" w:hAnsi="宋体"/>
                <w:color w:val="000000"/>
                <w:szCs w:val="21"/>
              </w:rPr>
              <w:t>中</w:t>
            </w:r>
            <w:r>
              <w:rPr>
                <w:rFonts w:hint="eastAsia" w:ascii="宋体" w:hAnsi="宋体"/>
                <w:color w:val="000000"/>
                <w:szCs w:val="21"/>
              </w:rPr>
              <w:t>所</w:t>
            </w:r>
            <w:r>
              <w:rPr>
                <w:rFonts w:ascii="宋体" w:hAnsi="宋体"/>
                <w:color w:val="000000"/>
                <w:szCs w:val="21"/>
              </w:rPr>
              <w:t>响应能够达到的最低的</w:t>
            </w:r>
            <w:r>
              <w:rPr>
                <w:rFonts w:hint="eastAsia" w:ascii="宋体" w:hAnsi="宋体"/>
                <w:color w:val="000000"/>
                <w:szCs w:val="21"/>
              </w:rPr>
              <w:t>使用成本</w:t>
            </w:r>
            <w:r>
              <w:rPr>
                <w:rFonts w:ascii="宋体" w:hAnsi="宋体"/>
                <w:color w:val="000000"/>
                <w:szCs w:val="21"/>
              </w:rPr>
              <w:t>为</w:t>
            </w:r>
            <w:r>
              <w:rPr>
                <w:rFonts w:hint="eastAsia" w:ascii="宋体" w:hAnsi="宋体"/>
                <w:color w:val="000000"/>
                <w:szCs w:val="21"/>
              </w:rPr>
              <w:t>标准值</w:t>
            </w:r>
            <w:r>
              <w:rPr>
                <w:rFonts w:ascii="宋体" w:hAnsi="宋体"/>
                <w:color w:val="000000"/>
                <w:szCs w:val="21"/>
              </w:rPr>
              <w:t>，</w:t>
            </w:r>
            <w:r>
              <w:rPr>
                <w:rFonts w:hint="eastAsia" w:ascii="宋体" w:hAnsi="宋体"/>
                <w:color w:val="000000"/>
                <w:szCs w:val="21"/>
              </w:rPr>
              <w:t>投标人</w:t>
            </w:r>
            <w:r>
              <w:rPr>
                <w:rFonts w:ascii="宋体" w:hAnsi="宋体"/>
                <w:color w:val="000000"/>
                <w:szCs w:val="21"/>
              </w:rPr>
              <w:t>得分=标准值</w:t>
            </w:r>
            <w:r>
              <w:rPr>
                <w:rFonts w:hint="eastAsia" w:ascii="宋体" w:hAnsi="宋体"/>
                <w:color w:val="000000"/>
                <w:szCs w:val="21"/>
              </w:rPr>
              <w:t>/投标人</w:t>
            </w:r>
            <w:r>
              <w:rPr>
                <w:rFonts w:ascii="宋体" w:hAnsi="宋体"/>
                <w:color w:val="000000"/>
                <w:szCs w:val="21"/>
              </w:rPr>
              <w:t>响应值</w:t>
            </w:r>
            <w:r>
              <w:rPr>
                <w:rFonts w:hint="eastAsia" w:ascii="宋体" w:hAnsi="宋体"/>
                <w:color w:val="000000"/>
                <w:szCs w:val="21"/>
              </w:rPr>
              <w:t>×5，</w:t>
            </w:r>
            <w:r>
              <w:rPr>
                <w:rFonts w:ascii="宋体" w:hAnsi="宋体"/>
                <w:color w:val="000000"/>
                <w:szCs w:val="21"/>
              </w:rPr>
              <w:t>结果保留</w:t>
            </w:r>
            <w:r>
              <w:rPr>
                <w:rFonts w:hint="eastAsia" w:ascii="宋体" w:hAnsi="宋体"/>
                <w:color w:val="000000"/>
                <w:szCs w:val="21"/>
              </w:rPr>
              <w:t>1位小数。</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35" w:hRule="atLeast"/>
        </w:trPr>
        <w:tc>
          <w:tcPr>
            <w:tcW w:w="465" w:type="dxa"/>
            <w:vAlign w:val="center"/>
          </w:tcPr>
          <w:p>
            <w:pPr>
              <w:jc w:val="center"/>
              <w:rPr>
                <w:rFonts w:hint="eastAsia" w:eastAsia="宋体"/>
                <w:color w:val="000000"/>
                <w:szCs w:val="21"/>
                <w:lang w:val="en-US" w:eastAsia="zh-CN"/>
              </w:rPr>
            </w:pPr>
            <w:r>
              <w:rPr>
                <w:rFonts w:hint="eastAsia"/>
                <w:color w:val="000000"/>
                <w:szCs w:val="21"/>
                <w:lang w:val="en-US" w:eastAsia="zh-CN"/>
              </w:rPr>
              <w:t>12</w:t>
            </w:r>
          </w:p>
        </w:tc>
        <w:tc>
          <w:tcPr>
            <w:tcW w:w="1185" w:type="dxa"/>
            <w:tcBorders>
              <w:bottom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活性氧</w:t>
            </w:r>
          </w:p>
          <w:p>
            <w:pPr>
              <w:spacing w:line="300" w:lineRule="exact"/>
              <w:jc w:val="center"/>
              <w:rPr>
                <w:bCs/>
                <w:color w:val="000000"/>
                <w:szCs w:val="21"/>
              </w:rPr>
            </w:pPr>
            <w:r>
              <w:rPr>
                <w:rFonts w:hint="eastAsia" w:ascii="宋体" w:hAnsi="宋体"/>
                <w:color w:val="000000"/>
                <w:szCs w:val="21"/>
              </w:rPr>
              <w:t>含量</w:t>
            </w:r>
          </w:p>
        </w:tc>
        <w:tc>
          <w:tcPr>
            <w:tcW w:w="765" w:type="dxa"/>
            <w:vAlign w:val="center"/>
          </w:tcPr>
          <w:p>
            <w:pPr>
              <w:spacing w:line="300" w:lineRule="exact"/>
              <w:jc w:val="center"/>
              <w:rPr>
                <w:color w:val="000000"/>
                <w:szCs w:val="21"/>
              </w:rPr>
            </w:pPr>
            <w:r>
              <w:rPr>
                <w:rFonts w:hint="eastAsia"/>
                <w:color w:val="000000"/>
                <w:szCs w:val="21"/>
              </w:rPr>
              <w:t>15</w:t>
            </w:r>
          </w:p>
        </w:tc>
        <w:tc>
          <w:tcPr>
            <w:tcW w:w="10328" w:type="dxa"/>
            <w:gridSpan w:val="6"/>
            <w:vAlign w:val="center"/>
          </w:tcPr>
          <w:p>
            <w:pPr>
              <w:spacing w:line="300" w:lineRule="exact"/>
              <w:rPr>
                <w:color w:val="000000"/>
                <w:szCs w:val="21"/>
              </w:rPr>
            </w:pPr>
            <w:r>
              <w:rPr>
                <w:rFonts w:hint="eastAsia" w:ascii="宋体" w:hAnsi="宋体"/>
                <w:color w:val="000000"/>
                <w:szCs w:val="21"/>
              </w:rPr>
              <w:t>单过硫酸氢钾复合消毒粉活性氧含量，满分为15分，以各个投标人</w:t>
            </w:r>
            <w:r>
              <w:rPr>
                <w:rFonts w:ascii="宋体" w:hAnsi="宋体"/>
                <w:color w:val="000000"/>
                <w:szCs w:val="21"/>
              </w:rPr>
              <w:t>中</w:t>
            </w:r>
            <w:r>
              <w:rPr>
                <w:rFonts w:hint="eastAsia" w:ascii="宋体" w:hAnsi="宋体"/>
                <w:color w:val="000000"/>
                <w:szCs w:val="21"/>
              </w:rPr>
              <w:t>所</w:t>
            </w:r>
            <w:r>
              <w:rPr>
                <w:rFonts w:ascii="宋体" w:hAnsi="宋体"/>
                <w:color w:val="000000"/>
                <w:szCs w:val="21"/>
              </w:rPr>
              <w:t>响应能够达到的最</w:t>
            </w:r>
            <w:r>
              <w:rPr>
                <w:rFonts w:hint="eastAsia" w:ascii="宋体" w:hAnsi="宋体"/>
                <w:color w:val="000000"/>
                <w:szCs w:val="21"/>
              </w:rPr>
              <w:t>高活性氧含量为标准值</w:t>
            </w:r>
            <w:r>
              <w:rPr>
                <w:rFonts w:ascii="宋体" w:hAnsi="宋体"/>
                <w:color w:val="000000"/>
                <w:szCs w:val="21"/>
              </w:rPr>
              <w:t>，</w:t>
            </w:r>
            <w:r>
              <w:rPr>
                <w:rFonts w:hint="eastAsia" w:ascii="宋体" w:hAnsi="宋体"/>
                <w:color w:val="000000"/>
                <w:szCs w:val="21"/>
              </w:rPr>
              <w:t>投标人</w:t>
            </w:r>
            <w:r>
              <w:rPr>
                <w:rFonts w:ascii="宋体" w:hAnsi="宋体"/>
                <w:color w:val="000000"/>
                <w:szCs w:val="21"/>
              </w:rPr>
              <w:t>得分=</w:t>
            </w:r>
            <w:r>
              <w:rPr>
                <w:rFonts w:hint="eastAsia" w:ascii="宋体" w:hAnsi="宋体"/>
                <w:color w:val="000000"/>
                <w:szCs w:val="21"/>
              </w:rPr>
              <w:t>投标人</w:t>
            </w:r>
            <w:r>
              <w:rPr>
                <w:rFonts w:ascii="宋体" w:hAnsi="宋体"/>
                <w:color w:val="000000"/>
                <w:szCs w:val="21"/>
              </w:rPr>
              <w:t>响应值</w:t>
            </w:r>
            <w:r>
              <w:rPr>
                <w:rFonts w:hint="eastAsia" w:ascii="宋体" w:hAnsi="宋体"/>
                <w:color w:val="000000"/>
                <w:szCs w:val="21"/>
              </w:rPr>
              <w:t>/</w:t>
            </w:r>
            <w:r>
              <w:rPr>
                <w:rFonts w:ascii="宋体" w:hAnsi="宋体"/>
                <w:color w:val="000000"/>
                <w:szCs w:val="21"/>
              </w:rPr>
              <w:t>标准值</w:t>
            </w:r>
            <w:r>
              <w:rPr>
                <w:rFonts w:hint="eastAsia" w:ascii="宋体" w:hAnsi="宋体"/>
                <w:color w:val="000000"/>
                <w:szCs w:val="21"/>
              </w:rPr>
              <w:t>×15，</w:t>
            </w:r>
            <w:r>
              <w:rPr>
                <w:rFonts w:ascii="宋体" w:hAnsi="宋体"/>
                <w:color w:val="000000"/>
                <w:szCs w:val="21"/>
              </w:rPr>
              <w:t>结果保留</w:t>
            </w:r>
            <w:r>
              <w:rPr>
                <w:rFonts w:hint="eastAsia" w:ascii="宋体" w:hAnsi="宋体"/>
                <w:color w:val="000000"/>
                <w:szCs w:val="21"/>
              </w:rPr>
              <w:t>1位小数。</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0" w:hRule="atLeast"/>
        </w:trPr>
        <w:tc>
          <w:tcPr>
            <w:tcW w:w="465" w:type="dxa"/>
            <w:vAlign w:val="center"/>
          </w:tcPr>
          <w:p>
            <w:pPr>
              <w:jc w:val="center"/>
              <w:rPr>
                <w:rFonts w:hint="eastAsia" w:eastAsia="宋体"/>
                <w:color w:val="000000"/>
                <w:szCs w:val="21"/>
                <w:lang w:val="en-US" w:eastAsia="zh-CN"/>
              </w:rPr>
            </w:pPr>
            <w:r>
              <w:rPr>
                <w:rFonts w:hint="eastAsia"/>
                <w:color w:val="000000"/>
                <w:szCs w:val="21"/>
                <w:lang w:val="en-US" w:eastAsia="zh-CN"/>
              </w:rPr>
              <w:t>13</w:t>
            </w:r>
          </w:p>
        </w:tc>
        <w:tc>
          <w:tcPr>
            <w:tcW w:w="1185" w:type="dxa"/>
            <w:vAlign w:val="center"/>
          </w:tcPr>
          <w:p>
            <w:pPr>
              <w:spacing w:line="300" w:lineRule="exact"/>
              <w:jc w:val="center"/>
              <w:rPr>
                <w:bCs/>
                <w:color w:val="000000"/>
                <w:szCs w:val="21"/>
              </w:rPr>
            </w:pPr>
            <w:r>
              <w:rPr>
                <w:rFonts w:hint="eastAsia"/>
                <w:bCs/>
                <w:color w:val="000000"/>
                <w:szCs w:val="21"/>
              </w:rPr>
              <w:t>信用</w:t>
            </w:r>
          </w:p>
        </w:tc>
        <w:tc>
          <w:tcPr>
            <w:tcW w:w="765" w:type="dxa"/>
            <w:vAlign w:val="center"/>
          </w:tcPr>
          <w:p>
            <w:pPr>
              <w:spacing w:line="300" w:lineRule="exact"/>
              <w:jc w:val="center"/>
              <w:rPr>
                <w:color w:val="000000"/>
                <w:szCs w:val="21"/>
              </w:rPr>
            </w:pPr>
            <w:r>
              <w:rPr>
                <w:rFonts w:hint="eastAsia"/>
                <w:color w:val="000000"/>
                <w:szCs w:val="21"/>
              </w:rPr>
              <w:t>2</w:t>
            </w:r>
          </w:p>
        </w:tc>
        <w:tc>
          <w:tcPr>
            <w:tcW w:w="10328" w:type="dxa"/>
            <w:gridSpan w:val="6"/>
            <w:vAlign w:val="center"/>
          </w:tcPr>
          <w:p>
            <w:pPr>
              <w:spacing w:line="300" w:lineRule="exact"/>
              <w:rPr>
                <w:color w:val="000000"/>
                <w:szCs w:val="21"/>
              </w:rPr>
            </w:pPr>
            <w:r>
              <w:rPr>
                <w:sz w:val="21"/>
                <w:szCs w:val="21"/>
              </w:rPr>
              <w:t>提供由人民银行或合法第三方信用服务机构出具的企业信用报告</w:t>
            </w:r>
            <w:r>
              <w:rPr>
                <w:rFonts w:hint="eastAsia"/>
                <w:sz w:val="21"/>
                <w:szCs w:val="21"/>
              </w:rPr>
              <w:t>或信用记录</w:t>
            </w:r>
            <w:r>
              <w:rPr>
                <w:sz w:val="21"/>
                <w:szCs w:val="21"/>
              </w:rPr>
              <w:t>得</w:t>
            </w:r>
            <w:r>
              <w:rPr>
                <w:rFonts w:hint="eastAsia"/>
                <w:sz w:val="21"/>
                <w:szCs w:val="21"/>
                <w:lang w:val="en-US" w:eastAsia="zh-CN"/>
              </w:rPr>
              <w:t>2</w:t>
            </w:r>
            <w:r>
              <w:rPr>
                <w:sz w:val="21"/>
                <w:szCs w:val="21"/>
              </w:rPr>
              <w:t>分；投标文件中提供复印件加盖单位公章。第三方信用服务机构出具的企业信用报告</w:t>
            </w:r>
            <w:r>
              <w:rPr>
                <w:rFonts w:hint="eastAsia"/>
                <w:sz w:val="21"/>
                <w:szCs w:val="21"/>
              </w:rPr>
              <w:t>（记录）还</w:t>
            </w:r>
            <w:r>
              <w:rPr>
                <w:sz w:val="21"/>
                <w:szCs w:val="21"/>
              </w:rPr>
              <w:t>须</w:t>
            </w:r>
            <w:r>
              <w:rPr>
                <w:rFonts w:hint="eastAsia"/>
                <w:sz w:val="21"/>
                <w:szCs w:val="21"/>
              </w:rPr>
              <w:t>提供人民银行备案证明文件复印件</w:t>
            </w:r>
            <w:r>
              <w:rPr>
                <w:sz w:val="21"/>
                <w:szCs w:val="21"/>
              </w:rPr>
              <w:t>，第三方信用服务机构没有提供备案</w:t>
            </w:r>
            <w:r>
              <w:rPr>
                <w:rFonts w:hint="eastAsia"/>
                <w:sz w:val="21"/>
                <w:szCs w:val="21"/>
              </w:rPr>
              <w:t>证明的</w:t>
            </w:r>
            <w:r>
              <w:rPr>
                <w:sz w:val="21"/>
                <w:szCs w:val="21"/>
              </w:rPr>
              <w:t>不得分。</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7" w:hRule="atLeast"/>
        </w:trPr>
        <w:tc>
          <w:tcPr>
            <w:tcW w:w="1650" w:type="dxa"/>
            <w:gridSpan w:val="2"/>
            <w:vAlign w:val="center"/>
          </w:tcPr>
          <w:p>
            <w:pPr>
              <w:jc w:val="center"/>
              <w:rPr>
                <w:color w:val="000000"/>
                <w:szCs w:val="21"/>
              </w:rPr>
            </w:pPr>
            <w:r>
              <w:rPr>
                <w:rFonts w:hint="eastAsia"/>
                <w:color w:val="000000"/>
                <w:szCs w:val="21"/>
              </w:rPr>
              <w:t>合计</w:t>
            </w:r>
          </w:p>
        </w:tc>
        <w:tc>
          <w:tcPr>
            <w:tcW w:w="765" w:type="dxa"/>
            <w:vAlign w:val="center"/>
          </w:tcPr>
          <w:p>
            <w:pPr>
              <w:jc w:val="center"/>
              <w:rPr>
                <w:color w:val="000000"/>
                <w:szCs w:val="21"/>
              </w:rPr>
            </w:pPr>
            <w:r>
              <w:rPr>
                <w:rFonts w:hint="eastAsia"/>
                <w:color w:val="000000"/>
                <w:szCs w:val="21"/>
              </w:rPr>
              <w:t>100</w:t>
            </w:r>
          </w:p>
        </w:tc>
        <w:tc>
          <w:tcPr>
            <w:tcW w:w="10328" w:type="dxa"/>
            <w:gridSpan w:val="6"/>
            <w:vAlign w:val="center"/>
          </w:tcPr>
          <w:p>
            <w:pPr>
              <w:spacing w:line="360" w:lineRule="exact"/>
              <w:jc w:val="center"/>
              <w:rPr>
                <w:color w:val="000000"/>
                <w:szCs w:val="21"/>
              </w:rPr>
            </w:pPr>
            <w:r>
              <w:rPr>
                <w:rFonts w:hint="eastAsia"/>
                <w:color w:val="000000"/>
                <w:szCs w:val="21"/>
              </w:rPr>
              <w:t>得分总计</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bl>
    <w:p>
      <w:pPr>
        <w:tabs>
          <w:tab w:val="left" w:pos="7725"/>
        </w:tabs>
        <w:snapToGrid w:val="0"/>
        <w:spacing w:line="400" w:lineRule="exact"/>
        <w:jc w:val="center"/>
        <w:rPr>
          <w:b/>
          <w:sz w:val="28"/>
          <w:szCs w:val="28"/>
        </w:rPr>
      </w:pPr>
    </w:p>
    <w:p>
      <w:pPr>
        <w:tabs>
          <w:tab w:val="left" w:pos="7725"/>
        </w:tabs>
        <w:snapToGrid w:val="0"/>
        <w:spacing w:line="360" w:lineRule="auto"/>
        <w:jc w:val="both"/>
        <w:rPr>
          <w:szCs w:val="21"/>
        </w:rPr>
      </w:pPr>
      <w:r>
        <w:rPr>
          <w:szCs w:val="21"/>
        </w:rPr>
        <w:t>注：评委对各投标文件进行比较后打分，最好的为优，其余的根据优劣相应的打分。</w:t>
      </w:r>
      <w:r>
        <w:t>评分分数低于60分的需文字说明。</w:t>
      </w:r>
    </w:p>
    <w:p>
      <w:pPr>
        <w:rPr>
          <w:szCs w:val="21"/>
        </w:rPr>
      </w:pPr>
    </w:p>
    <w:p>
      <w:pPr>
        <w:ind w:right="420"/>
        <w:rPr>
          <w:szCs w:val="21"/>
        </w:rPr>
      </w:pPr>
      <w:r>
        <w:rPr>
          <w:rFonts w:hint="eastAsia"/>
          <w:szCs w:val="21"/>
        </w:rPr>
        <w:t>评委签名：                                                                                                                                                                                   日期：</w:t>
      </w:r>
    </w:p>
    <w:p>
      <w:pPr>
        <w:sectPr>
          <w:pgSz w:w="16840" w:h="11907" w:orient="landscape"/>
          <w:pgMar w:top="1310" w:right="1418" w:bottom="1060" w:left="1418" w:header="794" w:footer="794" w:gutter="0"/>
          <w:cols w:space="720" w:num="1"/>
          <w:docGrid w:linePitch="286" w:charSpace="274"/>
        </w:sect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bookmarkStart w:id="18" w:name="_Toc7485"/>
      <w:r>
        <w:rPr>
          <w:rFonts w:ascii="Times New Roman"/>
        </w:rPr>
        <w:t>第五部分   合 同 书 格 式</w:t>
      </w:r>
      <w:bookmarkEnd w:id="18"/>
    </w:p>
    <w:p>
      <w:pPr>
        <w:pStyle w:val="99"/>
        <w:rPr>
          <w:rFonts w:ascii="Times New Roman"/>
          <w:b w:val="0"/>
        </w:rPr>
      </w:pPr>
      <w:bookmarkStart w:id="19" w:name="_Toc448224219"/>
      <w:bookmarkStart w:id="20" w:name="_Toc461007322"/>
      <w:bookmarkStart w:id="21" w:name="_Toc308185492"/>
      <w:bookmarkStart w:id="22" w:name="_Toc420935461"/>
      <w:bookmarkStart w:id="23" w:name="_Toc424119360"/>
      <w:bookmarkStart w:id="24" w:name="_Toc429576532"/>
      <w:bookmarkStart w:id="25" w:name="_Toc302994231"/>
      <w:bookmarkStart w:id="26" w:name="_Toc376767542"/>
      <w:bookmarkStart w:id="27" w:name="_Toc5314"/>
      <w:bookmarkStart w:id="28" w:name="_Toc436134935"/>
      <w:bookmarkStart w:id="29" w:name="_Toc302994267"/>
      <w:bookmarkStart w:id="30" w:name="_Toc351110353"/>
      <w:r>
        <w:rPr>
          <w:rFonts w:ascii="Times New Roman" w:eastAsia="宋体"/>
          <w:b w:val="0"/>
          <w:sz w:val="30"/>
          <w:szCs w:val="30"/>
        </w:rPr>
        <w:t>（以下合同范本供参考）</w:t>
      </w:r>
      <w:bookmarkEnd w:id="19"/>
      <w:bookmarkEnd w:id="20"/>
      <w:bookmarkEnd w:id="21"/>
      <w:bookmarkEnd w:id="22"/>
      <w:bookmarkEnd w:id="23"/>
      <w:bookmarkEnd w:id="24"/>
      <w:bookmarkEnd w:id="25"/>
      <w:bookmarkEnd w:id="26"/>
      <w:bookmarkEnd w:id="27"/>
      <w:bookmarkEnd w:id="28"/>
      <w:bookmarkEnd w:id="29"/>
      <w:bookmarkEnd w:id="30"/>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center"/>
        <w:rPr>
          <w:b/>
          <w:sz w:val="52"/>
        </w:rPr>
      </w:pPr>
    </w:p>
    <w:p>
      <w:pPr>
        <w:jc w:val="center"/>
        <w:rPr>
          <w:rFonts w:eastAsia="楷体_GB2312"/>
          <w:b/>
          <w:sz w:val="48"/>
          <w:szCs w:val="48"/>
        </w:rPr>
      </w:pPr>
      <w:r>
        <w:rPr>
          <w:rFonts w:eastAsia="楷体_GB2312"/>
          <w:b/>
          <w:sz w:val="48"/>
          <w:szCs w:val="48"/>
        </w:rPr>
        <w:br w:type="page"/>
      </w:r>
    </w:p>
    <w:p>
      <w:pPr>
        <w:spacing w:line="700" w:lineRule="exact"/>
        <w:jc w:val="center"/>
        <w:rPr>
          <w:rFonts w:hint="eastAsia" w:eastAsia="楷体_GB2312"/>
          <w:b/>
          <w:sz w:val="52"/>
          <w:szCs w:val="52"/>
        </w:rPr>
      </w:pPr>
    </w:p>
    <w:p>
      <w:pPr>
        <w:spacing w:line="700" w:lineRule="exact"/>
        <w:jc w:val="center"/>
        <w:rPr>
          <w:rFonts w:eastAsia="楷体_GB2312"/>
          <w:b/>
          <w:sz w:val="52"/>
          <w:szCs w:val="52"/>
        </w:rPr>
      </w:pPr>
      <w:r>
        <w:rPr>
          <w:rFonts w:hint="eastAsia" w:eastAsia="楷体_GB2312"/>
          <w:b/>
          <w:sz w:val="52"/>
          <w:szCs w:val="52"/>
        </w:rPr>
        <w:t>中山市坦洲镇污水处理有限公司</w:t>
      </w:r>
    </w:p>
    <w:p>
      <w:pPr>
        <w:spacing w:line="700" w:lineRule="exact"/>
        <w:jc w:val="center"/>
        <w:rPr>
          <w:rFonts w:eastAsia="楷体_GB2312"/>
          <w:b/>
          <w:sz w:val="52"/>
          <w:szCs w:val="52"/>
        </w:rPr>
      </w:pPr>
      <w:r>
        <w:rPr>
          <w:rFonts w:hint="eastAsia" w:eastAsia="楷体_GB2312"/>
          <w:b/>
          <w:sz w:val="52"/>
          <w:szCs w:val="52"/>
        </w:rPr>
        <w:t>坦洲镇污水处理厂消毒剂</w:t>
      </w:r>
      <w:r>
        <w:rPr>
          <w:rFonts w:eastAsia="楷体_GB2312"/>
          <w:b/>
          <w:sz w:val="52"/>
          <w:szCs w:val="52"/>
        </w:rPr>
        <w:t>采购项目</w:t>
      </w:r>
    </w:p>
    <w:p>
      <w:pPr>
        <w:jc w:val="center"/>
        <w:rPr>
          <w:b/>
          <w:sz w:val="52"/>
        </w:rPr>
      </w:pPr>
    </w:p>
    <w:p>
      <w:pPr>
        <w:jc w:val="center"/>
        <w:rPr>
          <w:b/>
          <w:sz w:val="52"/>
        </w:rPr>
      </w:pPr>
    </w:p>
    <w:p>
      <w:pPr>
        <w:jc w:val="center"/>
        <w:rPr>
          <w:rFonts w:eastAsia="楷体_GB2312"/>
          <w:b/>
          <w:sz w:val="84"/>
          <w:szCs w:val="84"/>
        </w:rPr>
      </w:pPr>
      <w:r>
        <w:rPr>
          <w:rFonts w:eastAsia="楷体_GB2312"/>
          <w:b/>
          <w:sz w:val="84"/>
          <w:szCs w:val="84"/>
        </w:rPr>
        <w:t>合同书</w:t>
      </w:r>
    </w:p>
    <w:p>
      <w:pPr>
        <w:jc w:val="center"/>
        <w:rPr>
          <w:sz w:val="24"/>
          <w:szCs w:val="24"/>
        </w:rPr>
      </w:pPr>
    </w:p>
    <w:p>
      <w:pPr>
        <w:jc w:val="center"/>
        <w:rPr>
          <w:sz w:val="52"/>
        </w:rPr>
      </w:pPr>
    </w:p>
    <w:p>
      <w:pPr>
        <w:jc w:val="center"/>
        <w:rPr>
          <w:sz w:val="52"/>
        </w:rPr>
      </w:pPr>
    </w:p>
    <w:p>
      <w:pPr>
        <w:spacing w:line="360" w:lineRule="auto"/>
        <w:jc w:val="center"/>
        <w:rPr>
          <w:b/>
          <w:sz w:val="32"/>
          <w:u w:val="single"/>
        </w:rPr>
      </w:pPr>
      <w:r>
        <w:rPr>
          <w:b/>
          <w:sz w:val="32"/>
        </w:rPr>
        <w:t>项  目  名  称：</w:t>
      </w:r>
      <w:r>
        <w:rPr>
          <w:sz w:val="32"/>
          <w:u w:val="single"/>
        </w:rPr>
        <w:t>_______________________</w:t>
      </w:r>
    </w:p>
    <w:p>
      <w:pPr>
        <w:spacing w:line="360" w:lineRule="auto"/>
        <w:jc w:val="center"/>
        <w:rPr>
          <w:b/>
          <w:sz w:val="32"/>
        </w:rPr>
      </w:pPr>
      <w:r>
        <w:rPr>
          <w:b/>
          <w:sz w:val="32"/>
        </w:rPr>
        <w:t>签  订  地  点：</w:t>
      </w:r>
      <w:r>
        <w:rPr>
          <w:sz w:val="32"/>
          <w:u w:val="single"/>
        </w:rPr>
        <w:t>_______________________</w:t>
      </w:r>
    </w:p>
    <w:p>
      <w:pPr>
        <w:spacing w:line="360" w:lineRule="auto"/>
        <w:jc w:val="center"/>
        <w:rPr>
          <w:b/>
          <w:sz w:val="32"/>
        </w:rPr>
      </w:pPr>
      <w:r>
        <w:rPr>
          <w:b/>
          <w:sz w:val="32"/>
        </w:rPr>
        <w:t>签  订  时  间：</w:t>
      </w:r>
      <w:r>
        <w:rPr>
          <w:sz w:val="32"/>
          <w:u w:val="single"/>
        </w:rPr>
        <w:t>_______________________</w:t>
      </w:r>
    </w:p>
    <w:p>
      <w:pPr>
        <w:spacing w:line="360" w:lineRule="auto"/>
        <w:jc w:val="center"/>
        <w:rPr>
          <w:sz w:val="32"/>
          <w:u w:val="single"/>
        </w:rPr>
      </w:pPr>
      <w:r>
        <w:rPr>
          <w:b/>
          <w:sz w:val="32"/>
        </w:rPr>
        <w:t>有  效  期  限：</w:t>
      </w:r>
      <w:r>
        <w:rPr>
          <w:sz w:val="32"/>
          <w:u w:val="single"/>
        </w:rPr>
        <w:t>_______________________</w:t>
      </w:r>
    </w:p>
    <w:p>
      <w:pPr>
        <w:spacing w:line="360" w:lineRule="auto"/>
        <w:rPr>
          <w:sz w:val="52"/>
        </w:rPr>
      </w:pPr>
    </w:p>
    <w:p>
      <w:pPr>
        <w:spacing w:line="360" w:lineRule="auto"/>
        <w:rPr>
          <w:sz w:val="52"/>
        </w:rPr>
      </w:pPr>
    </w:p>
    <w:p>
      <w:pPr>
        <w:spacing w:line="360" w:lineRule="auto"/>
        <w:jc w:val="both"/>
        <w:rPr>
          <w:sz w:val="52"/>
        </w:rPr>
      </w:pPr>
      <w:r>
        <w:rPr>
          <w:b/>
          <w:szCs w:val="21"/>
        </w:rPr>
        <w:t>（注：此合同为参考合同，以本招标文件的《用户需求书》的要求为基础，根据招标人需求签订合同，以招标人与成交单位签订成交合同为准，招标人有权在签订合同时对合同的相关条款及内容作进一步的细化和修改。）</w:t>
      </w:r>
    </w:p>
    <w:p>
      <w:pPr>
        <w:rPr>
          <w:sz w:val="32"/>
        </w:rPr>
      </w:pPr>
    </w:p>
    <w:p>
      <w:pPr>
        <w:rPr>
          <w:sz w:val="32"/>
        </w:rPr>
      </w:pPr>
    </w:p>
    <w:p>
      <w:pPr>
        <w:jc w:val="center"/>
        <w:rPr>
          <w:sz w:val="32"/>
        </w:rPr>
      </w:pPr>
      <w:r>
        <w:rPr>
          <w:sz w:val="32"/>
        </w:rPr>
        <w:t>201</w:t>
      </w:r>
      <w:r>
        <w:rPr>
          <w:rFonts w:hint="eastAsia"/>
          <w:sz w:val="32"/>
          <w:lang w:val="en-US" w:eastAsia="zh-CN"/>
        </w:rPr>
        <w:t>9</w:t>
      </w:r>
      <w:r>
        <w:rPr>
          <w:sz w:val="32"/>
        </w:rPr>
        <w:t>年   月    日</w:t>
      </w:r>
    </w:p>
    <w:p>
      <w:pPr>
        <w:jc w:val="center"/>
        <w:rPr>
          <w:sz w:val="32"/>
        </w:rPr>
      </w:pPr>
    </w:p>
    <w:p>
      <w:pPr>
        <w:jc w:val="center"/>
        <w:rPr>
          <w:sz w:val="32"/>
        </w:rPr>
      </w:pPr>
    </w:p>
    <w:p>
      <w:pPr>
        <w:jc w:val="center"/>
        <w:rPr>
          <w:sz w:val="32"/>
        </w:rPr>
      </w:pPr>
    </w:p>
    <w:p>
      <w:pPr>
        <w:tabs>
          <w:tab w:val="left" w:pos="840"/>
        </w:tabs>
        <w:spacing w:line="460" w:lineRule="atLeast"/>
        <w:ind w:firstLine="420" w:firstLineChars="200"/>
      </w:pPr>
    </w:p>
    <w:p>
      <w:pPr>
        <w:tabs>
          <w:tab w:val="left" w:pos="840"/>
        </w:tabs>
        <w:spacing w:line="460" w:lineRule="atLeast"/>
        <w:ind w:firstLine="420" w:firstLineChars="200"/>
        <w:rPr>
          <w:kern w:val="28"/>
        </w:rPr>
      </w:pPr>
      <w:r>
        <w:br w:type="page"/>
      </w:r>
      <w:r>
        <w:t>根据</w:t>
      </w:r>
      <w:r>
        <w:rPr>
          <w:rFonts w:hint="eastAsia"/>
        </w:rPr>
        <w:t>中山市坦洲镇污水处理有限公司的坦洲镇污水处理厂消毒剂采购项目</w:t>
      </w:r>
      <w:r>
        <w:t xml:space="preserve"> (招标编号</w:t>
      </w:r>
      <w:r>
        <w:rPr>
          <w:szCs w:val="21"/>
        </w:rPr>
        <w:t>：</w:t>
      </w:r>
      <w:r>
        <w:rPr>
          <w:rFonts w:hint="eastAsia"/>
          <w:lang w:eastAsia="zh-CN"/>
        </w:rPr>
        <w:t>HLSJZSCG-20181229</w:t>
      </w:r>
      <w:r>
        <w:rPr>
          <w:szCs w:val="21"/>
        </w:rPr>
        <w:t>）的</w:t>
      </w:r>
      <w:r>
        <w:t>招标结果，</w:t>
      </w:r>
      <w:r>
        <w:rPr>
          <w:kern w:val="28"/>
        </w:rPr>
        <w:t>________________（以下简称买方）与</w:t>
      </w:r>
      <w:r>
        <w:rPr>
          <w:kern w:val="28"/>
          <w:u w:val="single"/>
        </w:rPr>
        <w:t xml:space="preserve">                 </w:t>
      </w:r>
      <w:r>
        <w:rPr>
          <w:kern w:val="28"/>
        </w:rPr>
        <w:t>（以下简称卖方）就卖方向</w:t>
      </w:r>
      <w:r>
        <w:t>买方</w:t>
      </w:r>
      <w:r>
        <w:rPr>
          <w:kern w:val="28"/>
        </w:rPr>
        <w:t>提供的货物和服务，经买卖双方协商一致，签订本合同，共同遵守如下条款：</w:t>
      </w:r>
    </w:p>
    <w:p>
      <w:pPr>
        <w:widowControl w:val="0"/>
        <w:numPr>
          <w:ilvl w:val="0"/>
          <w:numId w:val="29"/>
        </w:numPr>
        <w:tabs>
          <w:tab w:val="left" w:pos="840"/>
        </w:tabs>
        <w:spacing w:line="460" w:lineRule="atLeast"/>
        <w:jc w:val="both"/>
        <w:rPr>
          <w:b/>
          <w:sz w:val="24"/>
        </w:rPr>
      </w:pPr>
      <w:r>
        <w:rPr>
          <w:b/>
          <w:sz w:val="24"/>
        </w:rPr>
        <w:t>合同标的</w:t>
      </w:r>
    </w:p>
    <w:p>
      <w:pPr>
        <w:widowControl w:val="0"/>
        <w:numPr>
          <w:ilvl w:val="0"/>
          <w:numId w:val="30"/>
        </w:numPr>
        <w:tabs>
          <w:tab w:val="left" w:pos="840"/>
        </w:tabs>
        <w:spacing w:line="460" w:lineRule="atLeast"/>
        <w:jc w:val="both"/>
        <w:rPr>
          <w:kern w:val="28"/>
          <w:szCs w:val="21"/>
        </w:rPr>
      </w:pPr>
      <w:r>
        <w:rPr>
          <w:kern w:val="28"/>
          <w:szCs w:val="21"/>
        </w:rPr>
        <w:t>合同内容包括货物供货、运输、仓储、保险、调试、培训、验收、技术服务（包括技术资料、图纸的提供）、质保期保障等全部相关服务。</w:t>
      </w:r>
    </w:p>
    <w:p>
      <w:pPr>
        <w:widowControl w:val="0"/>
        <w:numPr>
          <w:ilvl w:val="0"/>
          <w:numId w:val="30"/>
        </w:numPr>
        <w:tabs>
          <w:tab w:val="left" w:pos="840"/>
        </w:tabs>
        <w:spacing w:line="460" w:lineRule="atLeast"/>
        <w:jc w:val="both"/>
        <w:rPr>
          <w:szCs w:val="21"/>
        </w:rPr>
      </w:pPr>
      <w:r>
        <w:rPr>
          <w:szCs w:val="21"/>
        </w:rPr>
        <w:t>货物名称、型号、规格、制造商、数量</w:t>
      </w:r>
    </w:p>
    <w:tbl>
      <w:tblPr>
        <w:tblStyle w:val="55"/>
        <w:tblW w:w="1095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636"/>
        <w:gridCol w:w="2122"/>
        <w:gridCol w:w="1273"/>
        <w:gridCol w:w="1061"/>
        <w:gridCol w:w="1061"/>
        <w:gridCol w:w="1168"/>
        <w:gridCol w:w="1168"/>
        <w:gridCol w:w="1168"/>
        <w:gridCol w:w="12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89" w:hRule="atLeast"/>
          <w:jc w:val="center"/>
        </w:trPr>
        <w:tc>
          <w:tcPr>
            <w:tcW w:w="636"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序号</w:t>
            </w:r>
          </w:p>
        </w:tc>
        <w:tc>
          <w:tcPr>
            <w:tcW w:w="2122"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名称</w:t>
            </w:r>
          </w:p>
        </w:tc>
        <w:tc>
          <w:tcPr>
            <w:tcW w:w="1273"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规格</w:t>
            </w:r>
          </w:p>
        </w:tc>
        <w:tc>
          <w:tcPr>
            <w:tcW w:w="1061"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制造商</w:t>
            </w:r>
          </w:p>
        </w:tc>
        <w:tc>
          <w:tcPr>
            <w:tcW w:w="1061"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单位</w:t>
            </w:r>
          </w:p>
        </w:tc>
        <w:tc>
          <w:tcPr>
            <w:tcW w:w="1168"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数量</w:t>
            </w:r>
          </w:p>
        </w:tc>
        <w:tc>
          <w:tcPr>
            <w:tcW w:w="1168"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单价</w:t>
            </w:r>
          </w:p>
        </w:tc>
        <w:tc>
          <w:tcPr>
            <w:tcW w:w="1168"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总价</w:t>
            </w:r>
          </w:p>
        </w:tc>
        <w:tc>
          <w:tcPr>
            <w:tcW w:w="1293"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6" w:hRule="atLeast"/>
          <w:jc w:val="center"/>
        </w:trPr>
        <w:tc>
          <w:tcPr>
            <w:tcW w:w="636" w:type="dxa"/>
            <w:tcBorders>
              <w:top w:val="single" w:color="auto" w:sz="6" w:space="0"/>
            </w:tcBorders>
            <w:vAlign w:val="center"/>
          </w:tcPr>
          <w:p>
            <w:pPr>
              <w:autoSpaceDE w:val="0"/>
              <w:autoSpaceDN w:val="0"/>
              <w:adjustRightInd w:val="0"/>
              <w:spacing w:line="460" w:lineRule="atLeast"/>
              <w:jc w:val="center"/>
            </w:pPr>
          </w:p>
        </w:tc>
        <w:tc>
          <w:tcPr>
            <w:tcW w:w="2122" w:type="dxa"/>
            <w:tcBorders>
              <w:top w:val="single" w:color="auto" w:sz="6" w:space="0"/>
            </w:tcBorders>
            <w:vAlign w:val="center"/>
          </w:tcPr>
          <w:p>
            <w:pPr>
              <w:autoSpaceDE w:val="0"/>
              <w:autoSpaceDN w:val="0"/>
              <w:adjustRightInd w:val="0"/>
              <w:spacing w:line="460" w:lineRule="atLeast"/>
              <w:jc w:val="center"/>
            </w:pPr>
          </w:p>
        </w:tc>
        <w:tc>
          <w:tcPr>
            <w:tcW w:w="1273" w:type="dxa"/>
            <w:tcBorders>
              <w:top w:val="single" w:color="auto" w:sz="6" w:space="0"/>
            </w:tcBorders>
            <w:vAlign w:val="center"/>
          </w:tcPr>
          <w:p>
            <w:pPr>
              <w:autoSpaceDE w:val="0"/>
              <w:autoSpaceDN w:val="0"/>
              <w:adjustRightInd w:val="0"/>
              <w:spacing w:line="460" w:lineRule="atLeast"/>
              <w:jc w:val="center"/>
            </w:pPr>
          </w:p>
        </w:tc>
        <w:tc>
          <w:tcPr>
            <w:tcW w:w="1061" w:type="dxa"/>
            <w:tcBorders>
              <w:top w:val="single" w:color="auto" w:sz="6" w:space="0"/>
            </w:tcBorders>
            <w:vAlign w:val="center"/>
          </w:tcPr>
          <w:p>
            <w:pPr>
              <w:autoSpaceDE w:val="0"/>
              <w:autoSpaceDN w:val="0"/>
              <w:adjustRightInd w:val="0"/>
              <w:spacing w:line="460" w:lineRule="atLeast"/>
              <w:jc w:val="center"/>
            </w:pPr>
          </w:p>
        </w:tc>
        <w:tc>
          <w:tcPr>
            <w:tcW w:w="1061" w:type="dxa"/>
            <w:tcBorders>
              <w:top w:val="single" w:color="auto" w:sz="6" w:space="0"/>
            </w:tcBorders>
            <w:vAlign w:val="center"/>
          </w:tcPr>
          <w:p>
            <w:pPr>
              <w:autoSpaceDE w:val="0"/>
              <w:autoSpaceDN w:val="0"/>
              <w:adjustRightInd w:val="0"/>
              <w:spacing w:line="460" w:lineRule="atLeast"/>
              <w:jc w:val="center"/>
            </w:pPr>
          </w:p>
        </w:tc>
        <w:tc>
          <w:tcPr>
            <w:tcW w:w="1168" w:type="dxa"/>
            <w:tcBorders>
              <w:top w:val="single" w:color="auto" w:sz="6" w:space="0"/>
            </w:tcBorders>
            <w:vAlign w:val="top"/>
          </w:tcPr>
          <w:p>
            <w:pPr>
              <w:autoSpaceDE w:val="0"/>
              <w:autoSpaceDN w:val="0"/>
              <w:adjustRightInd w:val="0"/>
              <w:spacing w:line="460" w:lineRule="atLeast"/>
              <w:jc w:val="center"/>
            </w:pPr>
          </w:p>
        </w:tc>
        <w:tc>
          <w:tcPr>
            <w:tcW w:w="1168" w:type="dxa"/>
            <w:tcBorders>
              <w:top w:val="single" w:color="auto" w:sz="6" w:space="0"/>
            </w:tcBorders>
            <w:vAlign w:val="top"/>
          </w:tcPr>
          <w:p>
            <w:pPr>
              <w:autoSpaceDE w:val="0"/>
              <w:autoSpaceDN w:val="0"/>
              <w:adjustRightInd w:val="0"/>
              <w:spacing w:line="460" w:lineRule="atLeast"/>
              <w:jc w:val="center"/>
            </w:pPr>
          </w:p>
        </w:tc>
        <w:tc>
          <w:tcPr>
            <w:tcW w:w="1168" w:type="dxa"/>
            <w:tcBorders>
              <w:top w:val="single" w:color="auto" w:sz="6" w:space="0"/>
            </w:tcBorders>
            <w:vAlign w:val="center"/>
          </w:tcPr>
          <w:p>
            <w:pPr>
              <w:autoSpaceDE w:val="0"/>
              <w:autoSpaceDN w:val="0"/>
              <w:adjustRightInd w:val="0"/>
              <w:spacing w:line="460" w:lineRule="atLeast"/>
              <w:jc w:val="center"/>
            </w:pPr>
          </w:p>
        </w:tc>
        <w:tc>
          <w:tcPr>
            <w:tcW w:w="1293" w:type="dxa"/>
            <w:tcBorders>
              <w:top w:val="single" w:color="auto" w:sz="6" w:space="0"/>
            </w:tcBorders>
            <w:vAlign w:val="center"/>
          </w:tcPr>
          <w:p>
            <w:pPr>
              <w:autoSpaceDE w:val="0"/>
              <w:autoSpaceDN w:val="0"/>
              <w:adjustRightInd w:val="0"/>
              <w:spacing w:line="460" w:lineRule="atLeast"/>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86"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pPr>
          </w:p>
        </w:tc>
        <w:tc>
          <w:tcPr>
            <w:tcW w:w="1061" w:type="dxa"/>
            <w:vAlign w:val="center"/>
          </w:tcPr>
          <w:p>
            <w:pPr>
              <w:autoSpaceDE w:val="0"/>
              <w:autoSpaceDN w:val="0"/>
              <w:adjustRightInd w:val="0"/>
              <w:spacing w:line="460" w:lineRule="atLeast"/>
              <w:jc w:val="center"/>
            </w:pPr>
          </w:p>
        </w:tc>
        <w:tc>
          <w:tcPr>
            <w:tcW w:w="1061" w:type="dxa"/>
            <w:vAlign w:val="center"/>
          </w:tcPr>
          <w:p>
            <w:pPr>
              <w:autoSpaceDE w:val="0"/>
              <w:autoSpaceDN w:val="0"/>
              <w:adjustRightInd w:val="0"/>
              <w:spacing w:line="460" w:lineRule="atLeast"/>
              <w:jc w:val="center"/>
            </w:pPr>
          </w:p>
        </w:tc>
        <w:tc>
          <w:tcPr>
            <w:tcW w:w="1168" w:type="dxa"/>
            <w:vAlign w:val="top"/>
          </w:tcPr>
          <w:p>
            <w:pPr>
              <w:autoSpaceDE w:val="0"/>
              <w:autoSpaceDN w:val="0"/>
              <w:adjustRightInd w:val="0"/>
              <w:spacing w:line="460" w:lineRule="atLeast"/>
              <w:jc w:val="center"/>
            </w:pPr>
          </w:p>
        </w:tc>
        <w:tc>
          <w:tcPr>
            <w:tcW w:w="1168" w:type="dxa"/>
            <w:vAlign w:val="top"/>
          </w:tcPr>
          <w:p>
            <w:pPr>
              <w:autoSpaceDE w:val="0"/>
              <w:autoSpaceDN w:val="0"/>
              <w:adjustRightInd w:val="0"/>
              <w:spacing w:line="460" w:lineRule="atLeast"/>
              <w:jc w:val="center"/>
            </w:pPr>
          </w:p>
        </w:tc>
        <w:tc>
          <w:tcPr>
            <w:tcW w:w="1168" w:type="dxa"/>
            <w:vAlign w:val="center"/>
          </w:tcPr>
          <w:p>
            <w:pPr>
              <w:autoSpaceDE w:val="0"/>
              <w:autoSpaceDN w:val="0"/>
              <w:adjustRightInd w:val="0"/>
              <w:spacing w:line="460" w:lineRule="atLeast"/>
              <w:jc w:val="center"/>
            </w:pPr>
          </w:p>
        </w:tc>
        <w:tc>
          <w:tcPr>
            <w:tcW w:w="1293" w:type="dxa"/>
            <w:vAlign w:val="center"/>
          </w:tcPr>
          <w:p>
            <w:pPr>
              <w:autoSpaceDE w:val="0"/>
              <w:autoSpaceDN w:val="0"/>
              <w:adjustRightInd w:val="0"/>
              <w:spacing w:line="460" w:lineRule="atLeast"/>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04"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pPr>
          </w:p>
        </w:tc>
        <w:tc>
          <w:tcPr>
            <w:tcW w:w="1061" w:type="dxa"/>
            <w:vAlign w:val="center"/>
          </w:tcPr>
          <w:p>
            <w:pPr>
              <w:autoSpaceDE w:val="0"/>
              <w:autoSpaceDN w:val="0"/>
              <w:adjustRightInd w:val="0"/>
              <w:spacing w:line="460" w:lineRule="atLeast"/>
              <w:jc w:val="center"/>
            </w:pPr>
          </w:p>
        </w:tc>
        <w:tc>
          <w:tcPr>
            <w:tcW w:w="1061" w:type="dxa"/>
            <w:vAlign w:val="center"/>
          </w:tcPr>
          <w:p>
            <w:pPr>
              <w:autoSpaceDE w:val="0"/>
              <w:autoSpaceDN w:val="0"/>
              <w:adjustRightInd w:val="0"/>
              <w:spacing w:line="460" w:lineRule="atLeast"/>
              <w:jc w:val="center"/>
            </w:pPr>
          </w:p>
        </w:tc>
        <w:tc>
          <w:tcPr>
            <w:tcW w:w="1168" w:type="dxa"/>
            <w:vAlign w:val="top"/>
          </w:tcPr>
          <w:p>
            <w:pPr>
              <w:autoSpaceDE w:val="0"/>
              <w:autoSpaceDN w:val="0"/>
              <w:adjustRightInd w:val="0"/>
              <w:spacing w:line="460" w:lineRule="atLeast"/>
              <w:jc w:val="center"/>
            </w:pPr>
          </w:p>
        </w:tc>
        <w:tc>
          <w:tcPr>
            <w:tcW w:w="1168" w:type="dxa"/>
            <w:vAlign w:val="top"/>
          </w:tcPr>
          <w:p>
            <w:pPr>
              <w:autoSpaceDE w:val="0"/>
              <w:autoSpaceDN w:val="0"/>
              <w:adjustRightInd w:val="0"/>
              <w:spacing w:line="460" w:lineRule="atLeast"/>
              <w:jc w:val="center"/>
            </w:pPr>
          </w:p>
        </w:tc>
        <w:tc>
          <w:tcPr>
            <w:tcW w:w="1168" w:type="dxa"/>
            <w:vAlign w:val="center"/>
          </w:tcPr>
          <w:p>
            <w:pPr>
              <w:autoSpaceDE w:val="0"/>
              <w:autoSpaceDN w:val="0"/>
              <w:adjustRightInd w:val="0"/>
              <w:spacing w:line="460" w:lineRule="atLeast"/>
              <w:jc w:val="center"/>
            </w:pPr>
          </w:p>
        </w:tc>
        <w:tc>
          <w:tcPr>
            <w:tcW w:w="1293" w:type="dxa"/>
            <w:vAlign w:val="center"/>
          </w:tcPr>
          <w:p>
            <w:pPr>
              <w:autoSpaceDE w:val="0"/>
              <w:autoSpaceDN w:val="0"/>
              <w:adjustRightInd w:val="0"/>
              <w:spacing w:line="460" w:lineRule="atLeast"/>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4"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center"/>
          </w:tcPr>
          <w:p>
            <w:pPr>
              <w:autoSpaceDE w:val="0"/>
              <w:autoSpaceDN w:val="0"/>
              <w:adjustRightInd w:val="0"/>
              <w:spacing w:line="460" w:lineRule="atLeast"/>
              <w:jc w:val="center"/>
              <w:rPr>
                <w:b/>
              </w:rPr>
            </w:pPr>
          </w:p>
        </w:tc>
        <w:tc>
          <w:tcPr>
            <w:tcW w:w="1293" w:type="dxa"/>
            <w:vAlign w:val="center"/>
          </w:tcPr>
          <w:p>
            <w:pPr>
              <w:autoSpaceDE w:val="0"/>
              <w:autoSpaceDN w:val="0"/>
              <w:adjustRightInd w:val="0"/>
              <w:spacing w:line="460" w:lineRule="atLeast"/>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8"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center"/>
          </w:tcPr>
          <w:p>
            <w:pPr>
              <w:autoSpaceDE w:val="0"/>
              <w:autoSpaceDN w:val="0"/>
              <w:adjustRightInd w:val="0"/>
              <w:spacing w:line="460" w:lineRule="atLeast"/>
              <w:jc w:val="center"/>
              <w:rPr>
                <w:b/>
              </w:rPr>
            </w:pPr>
          </w:p>
        </w:tc>
        <w:tc>
          <w:tcPr>
            <w:tcW w:w="1293" w:type="dxa"/>
            <w:vAlign w:val="center"/>
          </w:tcPr>
          <w:p>
            <w:pPr>
              <w:autoSpaceDE w:val="0"/>
              <w:autoSpaceDN w:val="0"/>
              <w:adjustRightInd w:val="0"/>
              <w:spacing w:line="460" w:lineRule="atLeast"/>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88"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center"/>
          </w:tcPr>
          <w:p>
            <w:pPr>
              <w:autoSpaceDE w:val="0"/>
              <w:autoSpaceDN w:val="0"/>
              <w:adjustRightInd w:val="0"/>
              <w:spacing w:line="460" w:lineRule="atLeast"/>
              <w:jc w:val="center"/>
              <w:rPr>
                <w:b/>
              </w:rPr>
            </w:pPr>
          </w:p>
        </w:tc>
        <w:tc>
          <w:tcPr>
            <w:tcW w:w="1293" w:type="dxa"/>
            <w:vAlign w:val="center"/>
          </w:tcPr>
          <w:p>
            <w:pPr>
              <w:autoSpaceDE w:val="0"/>
              <w:autoSpaceDN w:val="0"/>
              <w:adjustRightInd w:val="0"/>
              <w:spacing w:line="460" w:lineRule="atLeast"/>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06"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center"/>
          </w:tcPr>
          <w:p>
            <w:pPr>
              <w:autoSpaceDE w:val="0"/>
              <w:autoSpaceDN w:val="0"/>
              <w:adjustRightInd w:val="0"/>
              <w:spacing w:line="460" w:lineRule="atLeast"/>
              <w:jc w:val="center"/>
              <w:rPr>
                <w:b/>
              </w:rPr>
            </w:pPr>
          </w:p>
        </w:tc>
        <w:tc>
          <w:tcPr>
            <w:tcW w:w="1293" w:type="dxa"/>
            <w:vAlign w:val="center"/>
          </w:tcPr>
          <w:p>
            <w:pPr>
              <w:autoSpaceDE w:val="0"/>
              <w:autoSpaceDN w:val="0"/>
              <w:adjustRightInd w:val="0"/>
              <w:spacing w:line="460" w:lineRule="atLeast"/>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06" w:hRule="atLeast"/>
          <w:jc w:val="center"/>
        </w:trPr>
        <w:tc>
          <w:tcPr>
            <w:tcW w:w="10950" w:type="dxa"/>
            <w:gridSpan w:val="9"/>
            <w:vAlign w:val="center"/>
          </w:tcPr>
          <w:p>
            <w:pPr>
              <w:autoSpaceDE w:val="0"/>
              <w:autoSpaceDN w:val="0"/>
              <w:adjustRightInd w:val="0"/>
              <w:spacing w:line="460" w:lineRule="atLeast"/>
              <w:rPr>
                <w:b/>
              </w:rPr>
            </w:pPr>
            <w:r>
              <w:rPr>
                <w:b/>
              </w:rPr>
              <w:t>小计: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06" w:hRule="atLeast"/>
          <w:jc w:val="center"/>
        </w:trPr>
        <w:tc>
          <w:tcPr>
            <w:tcW w:w="10950" w:type="dxa"/>
            <w:gridSpan w:val="9"/>
            <w:vAlign w:val="center"/>
          </w:tcPr>
          <w:p>
            <w:pPr>
              <w:autoSpaceDE w:val="0"/>
              <w:autoSpaceDN w:val="0"/>
              <w:adjustRightInd w:val="0"/>
              <w:spacing w:line="460" w:lineRule="atLeast"/>
              <w:rPr>
                <w:b/>
              </w:rPr>
            </w:pPr>
            <w:r>
              <w:rPr>
                <w:b/>
              </w:rPr>
              <w:t>具体的供货范围、技术规格详见合同附件</w:t>
            </w:r>
            <w:r>
              <w:rPr>
                <w:b/>
                <w:u w:val="single"/>
              </w:rPr>
              <w:t xml:space="preserve">    </w:t>
            </w:r>
            <w:r>
              <w:rPr>
                <w:b/>
              </w:rPr>
              <w:t>。</w:t>
            </w:r>
          </w:p>
        </w:tc>
      </w:tr>
    </w:tbl>
    <w:p>
      <w:pPr>
        <w:widowControl w:val="0"/>
        <w:numPr>
          <w:ilvl w:val="0"/>
          <w:numId w:val="29"/>
        </w:numPr>
        <w:tabs>
          <w:tab w:val="left" w:pos="840"/>
        </w:tabs>
        <w:spacing w:line="460" w:lineRule="atLeast"/>
        <w:jc w:val="both"/>
        <w:rPr>
          <w:b/>
          <w:sz w:val="24"/>
        </w:rPr>
      </w:pPr>
      <w:r>
        <w:rPr>
          <w:b/>
          <w:sz w:val="24"/>
        </w:rPr>
        <w:t>价格</w:t>
      </w:r>
    </w:p>
    <w:p>
      <w:pPr>
        <w:spacing w:line="460" w:lineRule="atLeast"/>
        <w:rPr>
          <w:szCs w:val="21"/>
        </w:rPr>
      </w:pPr>
      <w:r>
        <w:rPr>
          <w:szCs w:val="21"/>
        </w:rPr>
        <w:t xml:space="preserve">1.  合同总价： </w:t>
      </w:r>
    </w:p>
    <w:p>
      <w:pPr>
        <w:spacing w:line="460" w:lineRule="atLeast"/>
        <w:rPr>
          <w:szCs w:val="21"/>
        </w:rPr>
      </w:pPr>
      <w:r>
        <w:rPr>
          <w:szCs w:val="21"/>
        </w:rPr>
        <w:t xml:space="preserve">           （人民币）大写</w:t>
      </w:r>
      <w:r>
        <w:rPr>
          <w:szCs w:val="21"/>
          <w:u w:val="single"/>
        </w:rPr>
        <w:t xml:space="preserve">                                  </w:t>
      </w:r>
      <w:r>
        <w:rPr>
          <w:szCs w:val="21"/>
        </w:rPr>
        <w:t>(￥</w:t>
      </w:r>
      <w:r>
        <w:rPr>
          <w:szCs w:val="21"/>
          <w:u w:val="single"/>
        </w:rPr>
        <w:t xml:space="preserve">              </w:t>
      </w:r>
      <w:r>
        <w:rPr>
          <w:szCs w:val="21"/>
        </w:rPr>
        <w:t>)。</w:t>
      </w:r>
    </w:p>
    <w:p>
      <w:pPr>
        <w:spacing w:line="460" w:lineRule="atLeast"/>
        <w:rPr>
          <w:b/>
          <w:szCs w:val="21"/>
        </w:rPr>
      </w:pPr>
      <w:r>
        <w:rPr>
          <w:szCs w:val="21"/>
        </w:rPr>
        <w:t xml:space="preserve"> 其中：（1）</w:t>
      </w:r>
      <w:r>
        <w:rPr>
          <w:rFonts w:hint="eastAsia"/>
          <w:szCs w:val="21"/>
          <w:lang w:eastAsia="zh-CN"/>
        </w:rPr>
        <w:t>货物</w:t>
      </w:r>
      <w:r>
        <w:rPr>
          <w:szCs w:val="21"/>
        </w:rPr>
        <w:t>总价：</w:t>
      </w:r>
    </w:p>
    <w:p>
      <w:pPr>
        <w:spacing w:line="460" w:lineRule="atLeast"/>
        <w:ind w:firstLine="1260"/>
        <w:rPr>
          <w:szCs w:val="21"/>
        </w:rPr>
      </w:pPr>
      <w:r>
        <w:rPr>
          <w:szCs w:val="21"/>
        </w:rPr>
        <w:t>（人民币）大写</w:t>
      </w:r>
      <w:r>
        <w:rPr>
          <w:szCs w:val="21"/>
          <w:u w:val="single"/>
        </w:rPr>
        <w:t xml:space="preserve">                                 </w:t>
      </w:r>
      <w:r>
        <w:rPr>
          <w:szCs w:val="21"/>
        </w:rPr>
        <w:t>(￥</w:t>
      </w:r>
      <w:r>
        <w:rPr>
          <w:szCs w:val="21"/>
          <w:u w:val="single"/>
        </w:rPr>
        <w:t xml:space="preserve">              </w:t>
      </w:r>
      <w:r>
        <w:rPr>
          <w:szCs w:val="21"/>
        </w:rPr>
        <w:t>)。</w:t>
      </w:r>
    </w:p>
    <w:p>
      <w:pPr>
        <w:spacing w:line="460" w:lineRule="atLeast"/>
        <w:ind w:firstLine="742"/>
        <w:rPr>
          <w:szCs w:val="21"/>
        </w:rPr>
      </w:pPr>
      <w:r>
        <w:rPr>
          <w:szCs w:val="21"/>
        </w:rPr>
        <w:t>（2）运杂费、保险费：</w:t>
      </w:r>
    </w:p>
    <w:p>
      <w:pPr>
        <w:spacing w:line="460" w:lineRule="atLeast"/>
        <w:ind w:firstLine="1260" w:firstLineChars="600"/>
        <w:rPr>
          <w:szCs w:val="21"/>
        </w:rPr>
      </w:pPr>
      <w:r>
        <w:rPr>
          <w:szCs w:val="21"/>
        </w:rPr>
        <w:t>（人民币）大写</w:t>
      </w:r>
      <w:r>
        <w:rPr>
          <w:szCs w:val="21"/>
          <w:u w:val="single"/>
        </w:rPr>
        <w:t xml:space="preserve">                                 </w:t>
      </w:r>
      <w:r>
        <w:rPr>
          <w:szCs w:val="21"/>
        </w:rPr>
        <w:t>(￥</w:t>
      </w:r>
      <w:r>
        <w:rPr>
          <w:szCs w:val="21"/>
          <w:u w:val="single"/>
        </w:rPr>
        <w:t xml:space="preserve">              </w:t>
      </w:r>
      <w:r>
        <w:rPr>
          <w:szCs w:val="21"/>
        </w:rPr>
        <w:t>)。</w:t>
      </w:r>
    </w:p>
    <w:p>
      <w:pPr>
        <w:spacing w:line="460" w:lineRule="atLeast"/>
        <w:ind w:firstLine="735" w:firstLineChars="350"/>
        <w:rPr>
          <w:szCs w:val="21"/>
        </w:rPr>
      </w:pPr>
      <w:r>
        <w:rPr>
          <w:szCs w:val="21"/>
        </w:rPr>
        <w:t>（3）安装费、调试费、培训费：</w:t>
      </w:r>
    </w:p>
    <w:p>
      <w:pPr>
        <w:spacing w:line="460" w:lineRule="atLeast"/>
        <w:ind w:firstLine="1260"/>
        <w:rPr>
          <w:szCs w:val="21"/>
        </w:rPr>
      </w:pPr>
      <w:r>
        <w:rPr>
          <w:szCs w:val="21"/>
        </w:rPr>
        <w:t>（人民币）大写</w:t>
      </w:r>
      <w:r>
        <w:rPr>
          <w:szCs w:val="21"/>
          <w:u w:val="single"/>
        </w:rPr>
        <w:t xml:space="preserve">                                 </w:t>
      </w:r>
      <w:r>
        <w:rPr>
          <w:szCs w:val="21"/>
        </w:rPr>
        <w:t>(￥</w:t>
      </w:r>
      <w:r>
        <w:rPr>
          <w:szCs w:val="21"/>
          <w:u w:val="single"/>
        </w:rPr>
        <w:t xml:space="preserve">              </w:t>
      </w:r>
      <w:r>
        <w:rPr>
          <w:szCs w:val="21"/>
        </w:rPr>
        <w:t>)。</w:t>
      </w:r>
    </w:p>
    <w:p>
      <w:pPr>
        <w:spacing w:line="460" w:lineRule="atLeast"/>
        <w:ind w:firstLine="735" w:firstLineChars="350"/>
        <w:rPr>
          <w:szCs w:val="21"/>
        </w:rPr>
      </w:pPr>
      <w:r>
        <w:rPr>
          <w:szCs w:val="21"/>
        </w:rPr>
        <w:t>（4）其它费用：</w:t>
      </w:r>
    </w:p>
    <w:p>
      <w:pPr>
        <w:spacing w:line="460" w:lineRule="atLeast"/>
        <w:ind w:firstLine="1260"/>
        <w:rPr>
          <w:szCs w:val="21"/>
        </w:rPr>
      </w:pPr>
      <w:r>
        <w:rPr>
          <w:szCs w:val="21"/>
        </w:rPr>
        <w:t>（人民币）大写</w:t>
      </w:r>
      <w:r>
        <w:rPr>
          <w:szCs w:val="21"/>
          <w:u w:val="single"/>
        </w:rPr>
        <w:t xml:space="preserve">                                 </w:t>
      </w:r>
      <w:r>
        <w:rPr>
          <w:szCs w:val="21"/>
        </w:rPr>
        <w:t>(￥</w:t>
      </w:r>
      <w:r>
        <w:rPr>
          <w:szCs w:val="21"/>
          <w:u w:val="single"/>
        </w:rPr>
        <w:t xml:space="preserve">              </w:t>
      </w:r>
      <w:r>
        <w:rPr>
          <w:szCs w:val="21"/>
        </w:rPr>
        <w:t>)。</w:t>
      </w:r>
    </w:p>
    <w:p>
      <w:pPr>
        <w:pStyle w:val="25"/>
        <w:keepNext w:val="0"/>
        <w:keepLines w:val="0"/>
        <w:pageBreakBefore w:val="0"/>
        <w:kinsoku/>
        <w:wordWrap/>
        <w:overflowPunct/>
        <w:topLinePunct w:val="0"/>
        <w:bidi w:val="0"/>
        <w:spacing w:line="440" w:lineRule="exact"/>
        <w:ind w:left="424" w:hanging="424"/>
        <w:outlineLvl w:val="9"/>
        <w:rPr>
          <w:rFonts w:ascii="Times New Roman" w:hAnsi="Times New Roman"/>
          <w:szCs w:val="21"/>
          <w:u w:val="single"/>
        </w:rPr>
      </w:pPr>
      <w:r>
        <w:rPr>
          <w:rFonts w:ascii="Times New Roman" w:hAnsi="Times New Roman"/>
          <w:szCs w:val="21"/>
        </w:rPr>
        <w:t>2.  总价包括了</w:t>
      </w:r>
      <w:r>
        <w:rPr>
          <w:rFonts w:hint="eastAsia" w:ascii="Times New Roman" w:hAnsi="Times New Roman"/>
          <w:kern w:val="28"/>
          <w:szCs w:val="21"/>
          <w:lang w:eastAsia="zh-CN"/>
        </w:rPr>
        <w:t>货物</w:t>
      </w:r>
      <w:r>
        <w:rPr>
          <w:rFonts w:ascii="Times New Roman" w:hAnsi="Times New Roman"/>
          <w:kern w:val="28"/>
          <w:szCs w:val="21"/>
        </w:rPr>
        <w:t>各内容的</w:t>
      </w:r>
      <w:r>
        <w:rPr>
          <w:rFonts w:ascii="Times New Roman" w:hAnsi="Times New Roman"/>
          <w:szCs w:val="21"/>
        </w:rPr>
        <w:t>货物材料、配套设施、软件、包装、税费（包括关税、增值税）、运费、保险费、</w:t>
      </w:r>
      <w:r>
        <w:rPr>
          <w:rFonts w:ascii="Times New Roman" w:hAnsi="Times New Roman"/>
          <w:kern w:val="28"/>
          <w:szCs w:val="21"/>
        </w:rPr>
        <w:t>安装、调试</w:t>
      </w:r>
      <w:r>
        <w:rPr>
          <w:rFonts w:ascii="Times New Roman" w:hAnsi="Times New Roman"/>
          <w:szCs w:val="21"/>
        </w:rPr>
        <w:t>、培训费、图纸、资料、质保期内和免费上门服务期内等的全部费用。价格明细清单见合同附件</w:t>
      </w:r>
      <w:r>
        <w:rPr>
          <w:rFonts w:ascii="Times New Roman" w:hAnsi="Times New Roman"/>
          <w:szCs w:val="21"/>
          <w:u w:val="single"/>
        </w:rPr>
        <w:t xml:space="preserve">   </w:t>
      </w:r>
      <w:r>
        <w:rPr>
          <w:rFonts w:ascii="Times New Roman" w:hAnsi="Times New Roman"/>
          <w:szCs w:val="21"/>
        </w:rPr>
        <w:t>。</w:t>
      </w:r>
    </w:p>
    <w:p>
      <w:pPr>
        <w:keepNext w:val="0"/>
        <w:keepLines w:val="0"/>
        <w:pageBreakBefore w:val="0"/>
        <w:widowControl w:val="0"/>
        <w:numPr>
          <w:ilvl w:val="0"/>
          <w:numId w:val="31"/>
        </w:numPr>
        <w:tabs>
          <w:tab w:val="left" w:pos="424"/>
          <w:tab w:val="clear" w:pos="630"/>
        </w:tabs>
        <w:kinsoku/>
        <w:wordWrap/>
        <w:overflowPunct/>
        <w:topLinePunct w:val="0"/>
        <w:bidi w:val="0"/>
        <w:spacing w:line="440" w:lineRule="exact"/>
        <w:jc w:val="both"/>
        <w:outlineLvl w:val="9"/>
        <w:rPr>
          <w:szCs w:val="21"/>
        </w:rPr>
      </w:pPr>
      <w:r>
        <w:rPr>
          <w:szCs w:val="21"/>
        </w:rPr>
        <w:t>如合同内容没有变更，本合同价格为固定不变价。</w:t>
      </w:r>
    </w:p>
    <w:p>
      <w:pPr>
        <w:keepNext w:val="0"/>
        <w:keepLines w:val="0"/>
        <w:pageBreakBefore w:val="0"/>
        <w:widowControl w:val="0"/>
        <w:numPr>
          <w:ilvl w:val="0"/>
          <w:numId w:val="31"/>
        </w:numPr>
        <w:tabs>
          <w:tab w:val="left" w:pos="424"/>
          <w:tab w:val="clear" w:pos="630"/>
        </w:tabs>
        <w:kinsoku/>
        <w:wordWrap/>
        <w:overflowPunct/>
        <w:topLinePunct w:val="0"/>
        <w:bidi w:val="0"/>
        <w:spacing w:line="440" w:lineRule="exact"/>
        <w:jc w:val="both"/>
        <w:outlineLvl w:val="9"/>
        <w:rPr>
          <w:szCs w:val="21"/>
        </w:rPr>
      </w:pPr>
      <w:r>
        <w:rPr>
          <w:szCs w:val="21"/>
        </w:rPr>
        <w:t>如果单价和数量的乘积与总价不一致时，以单价为准并修正总价。</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货物产地及标准</w:t>
      </w:r>
    </w:p>
    <w:p>
      <w:pPr>
        <w:keepNext w:val="0"/>
        <w:keepLines w:val="0"/>
        <w:pageBreakBefore w:val="0"/>
        <w:numPr>
          <w:ilvl w:val="1"/>
          <w:numId w:val="32"/>
        </w:numPr>
        <w:tabs>
          <w:tab w:val="left" w:pos="424"/>
          <w:tab w:val="clear" w:pos="840"/>
        </w:tabs>
        <w:kinsoku/>
        <w:wordWrap/>
        <w:overflowPunct/>
        <w:topLinePunct w:val="0"/>
        <w:bidi w:val="0"/>
        <w:spacing w:line="440" w:lineRule="exact"/>
        <w:ind w:left="424" w:hanging="424"/>
        <w:outlineLvl w:val="9"/>
      </w:pPr>
      <w:r>
        <w:rPr>
          <w:szCs w:val="21"/>
        </w:rPr>
        <w:t>货物为（填写制造商名称）全新的（原装）产品（含零部件、配件、工具等），表面无划伤、无碰撞。</w:t>
      </w:r>
    </w:p>
    <w:p>
      <w:pPr>
        <w:keepNext w:val="0"/>
        <w:keepLines w:val="0"/>
        <w:pageBreakBefore w:val="0"/>
        <w:numPr>
          <w:ilvl w:val="1"/>
          <w:numId w:val="32"/>
        </w:numPr>
        <w:tabs>
          <w:tab w:val="left" w:pos="424"/>
          <w:tab w:val="clear" w:pos="840"/>
        </w:tabs>
        <w:kinsoku/>
        <w:wordWrap/>
        <w:overflowPunct/>
        <w:topLinePunct w:val="0"/>
        <w:bidi w:val="0"/>
        <w:spacing w:line="440" w:lineRule="exact"/>
        <w:ind w:left="424" w:hanging="424"/>
        <w:outlineLvl w:val="9"/>
        <w:rPr>
          <w:szCs w:val="21"/>
        </w:rPr>
      </w:pPr>
      <w:r>
        <w:rPr>
          <w:szCs w:val="21"/>
        </w:rPr>
        <w:t>标准：</w:t>
      </w:r>
    </w:p>
    <w:p>
      <w:pPr>
        <w:keepNext w:val="0"/>
        <w:keepLines w:val="0"/>
        <w:pageBreakBefore w:val="0"/>
        <w:kinsoku/>
        <w:wordWrap/>
        <w:overflowPunct/>
        <w:topLinePunct w:val="0"/>
        <w:bidi w:val="0"/>
        <w:spacing w:line="440" w:lineRule="exact"/>
        <w:ind w:left="420" w:leftChars="200"/>
        <w:outlineLvl w:val="9"/>
      </w:pPr>
      <w:r>
        <w:t>本合同所指的货物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keepNext w:val="0"/>
        <w:keepLines w:val="0"/>
        <w:pageBreakBefore w:val="0"/>
        <w:numPr>
          <w:ilvl w:val="0"/>
          <w:numId w:val="30"/>
        </w:numPr>
        <w:tabs>
          <w:tab w:val="left" w:pos="630"/>
        </w:tabs>
        <w:kinsoku/>
        <w:wordWrap/>
        <w:overflowPunct/>
        <w:topLinePunct w:val="0"/>
        <w:bidi w:val="0"/>
        <w:spacing w:line="440" w:lineRule="exact"/>
        <w:outlineLvl w:val="9"/>
      </w:pPr>
      <w:r>
        <w:t>国内产品或合资厂的产品必须具备出厂合格证。</w:t>
      </w:r>
    </w:p>
    <w:p>
      <w:pPr>
        <w:keepNext w:val="0"/>
        <w:keepLines w:val="0"/>
        <w:pageBreakBefore w:val="0"/>
        <w:numPr>
          <w:ilvl w:val="0"/>
          <w:numId w:val="30"/>
        </w:numPr>
        <w:tabs>
          <w:tab w:val="left" w:pos="630"/>
        </w:tabs>
        <w:kinsoku/>
        <w:wordWrap/>
        <w:overflowPunct/>
        <w:topLinePunct w:val="0"/>
        <w:bidi w:val="0"/>
        <w:spacing w:line="440" w:lineRule="exact"/>
        <w:outlineLvl w:val="9"/>
      </w:pPr>
      <w:r>
        <w:t>卖方应将所供物品的用户手册、保修手册、有关资料及配件、工具等交付给买方。</w:t>
      </w:r>
    </w:p>
    <w:p>
      <w:pPr>
        <w:keepNext w:val="0"/>
        <w:keepLines w:val="0"/>
        <w:pageBreakBefore w:val="0"/>
        <w:numPr>
          <w:ilvl w:val="0"/>
          <w:numId w:val="30"/>
        </w:numPr>
        <w:tabs>
          <w:tab w:val="left" w:pos="630"/>
        </w:tabs>
        <w:kinsoku/>
        <w:wordWrap/>
        <w:overflowPunct/>
        <w:topLinePunct w:val="0"/>
        <w:bidi w:val="0"/>
        <w:spacing w:line="440" w:lineRule="exact"/>
        <w:outlineLvl w:val="9"/>
      </w:pPr>
      <w:r>
        <w:t>卖方保证所售系统不会侵犯任何第三方权利。</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包装、运输及保险</w:t>
      </w:r>
    </w:p>
    <w:p>
      <w:pPr>
        <w:keepNext w:val="0"/>
        <w:keepLines w:val="0"/>
        <w:pageBreakBefore w:val="0"/>
        <w:widowControl w:val="0"/>
        <w:numPr>
          <w:ilvl w:val="0"/>
          <w:numId w:val="33"/>
        </w:numPr>
        <w:tabs>
          <w:tab w:val="left" w:pos="824"/>
        </w:tabs>
        <w:kinsoku/>
        <w:wordWrap/>
        <w:overflowPunct/>
        <w:topLinePunct w:val="0"/>
        <w:bidi w:val="0"/>
        <w:spacing w:line="440" w:lineRule="exact"/>
        <w:jc w:val="both"/>
        <w:outlineLvl w:val="9"/>
        <w:rPr>
          <w:szCs w:val="21"/>
        </w:rPr>
      </w:pPr>
      <w:r>
        <w:rPr>
          <w:szCs w:val="21"/>
        </w:rPr>
        <w:t>卖方所供设备必须为制造商原厂包装，包装质量符合国家相关标准，设备的包装均应有良好的防湿、防锈、防潮、防雨、防腐及防碰撞的措施。设备要求有包装材料保护运至现场。凡由于包装不良造成的损失和由此产生的费用均由卖方承担。</w:t>
      </w:r>
    </w:p>
    <w:p>
      <w:pPr>
        <w:keepNext w:val="0"/>
        <w:keepLines w:val="0"/>
        <w:pageBreakBefore w:val="0"/>
        <w:widowControl w:val="0"/>
        <w:numPr>
          <w:ilvl w:val="0"/>
          <w:numId w:val="33"/>
        </w:numPr>
        <w:tabs>
          <w:tab w:val="left" w:pos="824"/>
        </w:tabs>
        <w:kinsoku/>
        <w:wordWrap/>
        <w:overflowPunct/>
        <w:topLinePunct w:val="0"/>
        <w:bidi w:val="0"/>
        <w:spacing w:line="440" w:lineRule="exact"/>
        <w:jc w:val="both"/>
        <w:outlineLvl w:val="9"/>
        <w:rPr>
          <w:szCs w:val="21"/>
        </w:rPr>
      </w:pPr>
      <w:r>
        <w:rPr>
          <w:szCs w:val="21"/>
        </w:rPr>
        <w:t>由卖方负责根据买方指定的安装地点, 将设备材料送到现场过程中的全部运输，包括装卸车、设备现场的搬运。</w:t>
      </w:r>
    </w:p>
    <w:p>
      <w:pPr>
        <w:keepNext w:val="0"/>
        <w:keepLines w:val="0"/>
        <w:pageBreakBefore w:val="0"/>
        <w:numPr>
          <w:ilvl w:val="0"/>
          <w:numId w:val="33"/>
        </w:numPr>
        <w:tabs>
          <w:tab w:val="left" w:pos="848"/>
        </w:tabs>
        <w:kinsoku/>
        <w:wordWrap/>
        <w:overflowPunct/>
        <w:topLinePunct w:val="0"/>
        <w:bidi w:val="0"/>
        <w:spacing w:line="440" w:lineRule="exact"/>
        <w:outlineLvl w:val="9"/>
        <w:rPr>
          <w:szCs w:val="21"/>
        </w:rPr>
      </w:pPr>
      <w:r>
        <w:rPr>
          <w:szCs w:val="21"/>
        </w:rPr>
        <w:t>各种设备，必须提供装箱清单，按装箱清单验收设备。</w:t>
      </w:r>
    </w:p>
    <w:p>
      <w:pPr>
        <w:keepNext w:val="0"/>
        <w:keepLines w:val="0"/>
        <w:pageBreakBefore w:val="0"/>
        <w:numPr>
          <w:ilvl w:val="0"/>
          <w:numId w:val="33"/>
        </w:numPr>
        <w:tabs>
          <w:tab w:val="left" w:pos="848"/>
        </w:tabs>
        <w:kinsoku/>
        <w:wordWrap/>
        <w:overflowPunct/>
        <w:topLinePunct w:val="0"/>
        <w:bidi w:val="0"/>
        <w:spacing w:line="440" w:lineRule="exact"/>
        <w:outlineLvl w:val="9"/>
        <w:rPr>
          <w:szCs w:val="21"/>
        </w:rPr>
      </w:pPr>
      <w:r>
        <w:rPr>
          <w:szCs w:val="21"/>
        </w:rPr>
        <w:t>设备在现场的保管由卖方负责，直至项目安装、验收完毕。</w:t>
      </w:r>
    </w:p>
    <w:p>
      <w:pPr>
        <w:keepNext w:val="0"/>
        <w:keepLines w:val="0"/>
        <w:pageBreakBefore w:val="0"/>
        <w:widowControl w:val="0"/>
        <w:numPr>
          <w:ilvl w:val="0"/>
          <w:numId w:val="33"/>
        </w:numPr>
        <w:tabs>
          <w:tab w:val="left" w:pos="824"/>
        </w:tabs>
        <w:kinsoku/>
        <w:wordWrap/>
        <w:overflowPunct/>
        <w:topLinePunct w:val="0"/>
        <w:bidi w:val="0"/>
        <w:spacing w:line="440" w:lineRule="exact"/>
        <w:jc w:val="both"/>
        <w:outlineLvl w:val="9"/>
        <w:rPr>
          <w:szCs w:val="21"/>
        </w:rPr>
      </w:pPr>
      <w:r>
        <w:rPr>
          <w:szCs w:val="21"/>
        </w:rPr>
        <w:t>卖方负责项目交付前设备的保险，负责卖方服务人员服务现场的人身意外保险。</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交付使用时间及交货地点</w:t>
      </w:r>
    </w:p>
    <w:p>
      <w:pPr>
        <w:keepNext w:val="0"/>
        <w:keepLines w:val="0"/>
        <w:pageBreakBefore w:val="0"/>
        <w:numPr>
          <w:ilvl w:val="0"/>
          <w:numId w:val="34"/>
        </w:numPr>
        <w:kinsoku/>
        <w:wordWrap/>
        <w:overflowPunct/>
        <w:topLinePunct w:val="0"/>
        <w:bidi w:val="0"/>
        <w:spacing w:line="440" w:lineRule="exact"/>
        <w:outlineLvl w:val="9"/>
        <w:rPr>
          <w:b/>
        </w:rPr>
      </w:pPr>
      <w:r>
        <w:rPr>
          <w:szCs w:val="21"/>
        </w:rPr>
        <w:t>项目完工验收交付使用时间：</w:t>
      </w:r>
      <w:r>
        <w:t>合同签定后</w:t>
      </w:r>
      <w:r>
        <w:rPr>
          <w:rFonts w:hint="eastAsia"/>
          <w:szCs w:val="21"/>
        </w:rPr>
        <w:t>15</w:t>
      </w:r>
      <w:r>
        <w:rPr>
          <w:szCs w:val="21"/>
        </w:rPr>
        <w:t>个日历天</w:t>
      </w:r>
      <w:r>
        <w:t>内完成整个项目的供货、安装、验收合格并交付使用。</w:t>
      </w:r>
    </w:p>
    <w:p>
      <w:pPr>
        <w:keepNext w:val="0"/>
        <w:keepLines w:val="0"/>
        <w:pageBreakBefore w:val="0"/>
        <w:numPr>
          <w:ilvl w:val="0"/>
          <w:numId w:val="34"/>
        </w:numPr>
        <w:kinsoku/>
        <w:wordWrap/>
        <w:overflowPunct/>
        <w:topLinePunct w:val="0"/>
        <w:bidi w:val="0"/>
        <w:spacing w:line="440" w:lineRule="exact"/>
        <w:outlineLvl w:val="9"/>
      </w:pPr>
      <w:r>
        <w:t>交货地点：买方指定地点。</w:t>
      </w:r>
    </w:p>
    <w:p>
      <w:pPr>
        <w:keepNext w:val="0"/>
        <w:keepLines w:val="0"/>
        <w:pageBreakBefore w:val="0"/>
        <w:numPr>
          <w:ilvl w:val="0"/>
          <w:numId w:val="34"/>
        </w:numPr>
        <w:kinsoku/>
        <w:wordWrap/>
        <w:overflowPunct/>
        <w:topLinePunct w:val="0"/>
        <w:bidi w:val="0"/>
        <w:spacing w:line="440" w:lineRule="exact"/>
        <w:outlineLvl w:val="9"/>
        <w:rPr>
          <w:b/>
        </w:rPr>
      </w:pPr>
      <w:r>
        <w:t>本合同标的货物（或服务）到达现场后，由买方使用部门和负责招标的部门根据招标文件及合同共同确认数量、型号、货物具体参数（或服务质量）。安装调试及培训由买方使用部门及卖方共同完成。</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付款</w:t>
      </w:r>
    </w:p>
    <w:p>
      <w:pPr>
        <w:keepNext w:val="0"/>
        <w:keepLines w:val="0"/>
        <w:pageBreakBefore w:val="0"/>
        <w:numPr>
          <w:ilvl w:val="1"/>
          <w:numId w:val="29"/>
        </w:numPr>
        <w:tabs>
          <w:tab w:val="left" w:pos="424"/>
        </w:tabs>
        <w:kinsoku/>
        <w:wordWrap/>
        <w:overflowPunct/>
        <w:topLinePunct w:val="0"/>
        <w:autoSpaceDE w:val="0"/>
        <w:autoSpaceDN w:val="0"/>
        <w:bidi w:val="0"/>
        <w:spacing w:line="440" w:lineRule="exact"/>
        <w:ind w:left="424" w:right="-53" w:hanging="424"/>
        <w:textAlignment w:val="bottom"/>
        <w:outlineLvl w:val="9"/>
      </w:pPr>
      <w:r>
        <w:t>付款办法：</w:t>
      </w:r>
    </w:p>
    <w:p>
      <w:pPr>
        <w:keepNext w:val="0"/>
        <w:keepLines w:val="0"/>
        <w:pageBreakBefore w:val="0"/>
        <w:tabs>
          <w:tab w:val="left" w:pos="374"/>
          <w:tab w:val="left" w:pos="424"/>
        </w:tabs>
        <w:kinsoku/>
        <w:wordWrap/>
        <w:overflowPunct/>
        <w:topLinePunct w:val="0"/>
        <w:autoSpaceDE w:val="0"/>
        <w:autoSpaceDN w:val="0"/>
        <w:bidi w:val="0"/>
        <w:spacing w:line="440" w:lineRule="exact"/>
        <w:ind w:left="424" w:right="-53"/>
        <w:textAlignment w:val="bottom"/>
        <w:outlineLvl w:val="9"/>
      </w:pPr>
      <w:r>
        <w:rPr>
          <w:rFonts w:hint="eastAsia" w:ascii="宋体" w:hAnsi="宋体" w:cs="宋体"/>
          <w:color w:val="000000"/>
          <w:szCs w:val="21"/>
        </w:rPr>
        <w:t>一次性供货完毕的，所有货物验收合格后30日内一次性付清所有合同款项，如分批供货的，在该批次货物验收合格后30日内付清该批次款项。</w:t>
      </w:r>
    </w:p>
    <w:p>
      <w:pPr>
        <w:keepNext w:val="0"/>
        <w:keepLines w:val="0"/>
        <w:pageBreakBefore w:val="0"/>
        <w:numPr>
          <w:ilvl w:val="1"/>
          <w:numId w:val="29"/>
        </w:numPr>
        <w:tabs>
          <w:tab w:val="left" w:pos="424"/>
        </w:tabs>
        <w:kinsoku/>
        <w:wordWrap/>
        <w:overflowPunct/>
        <w:topLinePunct w:val="0"/>
        <w:autoSpaceDE w:val="0"/>
        <w:autoSpaceDN w:val="0"/>
        <w:bidi w:val="0"/>
        <w:spacing w:line="440" w:lineRule="exact"/>
        <w:ind w:left="424" w:right="-53" w:hanging="424"/>
        <w:textAlignment w:val="bottom"/>
        <w:outlineLvl w:val="9"/>
        <w:rPr>
          <w:szCs w:val="21"/>
        </w:rPr>
      </w:pPr>
      <w:r>
        <w:rPr>
          <w:szCs w:val="21"/>
        </w:rPr>
        <w:t>付款方式：采用支票、银行</w:t>
      </w:r>
      <w:r>
        <w:rPr>
          <w:rFonts w:hint="eastAsia"/>
          <w:szCs w:val="21"/>
          <w:lang w:eastAsia="zh-CN"/>
        </w:rPr>
        <w:t>转账两</w:t>
      </w:r>
      <w:r>
        <w:rPr>
          <w:szCs w:val="21"/>
        </w:rPr>
        <w:t>种形式。</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安装与调试</w:t>
      </w:r>
    </w:p>
    <w:p>
      <w:pPr>
        <w:keepNext w:val="0"/>
        <w:keepLines w:val="0"/>
        <w:pageBreakBefore w:val="0"/>
        <w:tabs>
          <w:tab w:val="left" w:pos="824"/>
        </w:tabs>
        <w:kinsoku/>
        <w:wordWrap/>
        <w:overflowPunct/>
        <w:topLinePunct w:val="0"/>
        <w:bidi w:val="0"/>
        <w:spacing w:line="440" w:lineRule="exact"/>
        <w:ind w:left="422" w:leftChars="1" w:hanging="420" w:hangingChars="200"/>
        <w:outlineLvl w:val="9"/>
        <w:rPr>
          <w:szCs w:val="21"/>
        </w:rPr>
      </w:pPr>
      <w:r>
        <w:rPr>
          <w:szCs w:val="21"/>
        </w:rPr>
        <w:t xml:space="preserve">1. </w:t>
      </w:r>
      <w:r>
        <w:rPr>
          <w:rFonts w:hint="eastAsia"/>
          <w:szCs w:val="21"/>
          <w:lang w:val="en-US" w:eastAsia="zh-CN"/>
        </w:rPr>
        <w:t xml:space="preserve">  </w:t>
      </w:r>
      <w:r>
        <w:rPr>
          <w:szCs w:val="21"/>
        </w:rPr>
        <w:t xml:space="preserve"> 卖方派出的服务人员应具备相关的专业知识及技术水平，熟悉本合同所述相关货物的规格、技术指标及安装工艺，有足够能力安装调试本合同的货物。</w:t>
      </w:r>
    </w:p>
    <w:p>
      <w:pPr>
        <w:keepNext w:val="0"/>
        <w:keepLines w:val="0"/>
        <w:pageBreakBefore w:val="0"/>
        <w:tabs>
          <w:tab w:val="left" w:pos="824"/>
        </w:tabs>
        <w:kinsoku/>
        <w:wordWrap/>
        <w:overflowPunct/>
        <w:topLinePunct w:val="0"/>
        <w:bidi w:val="0"/>
        <w:spacing w:line="440" w:lineRule="exact"/>
        <w:ind w:left="422" w:leftChars="1" w:hanging="420" w:hangingChars="200"/>
        <w:outlineLvl w:val="9"/>
        <w:rPr>
          <w:szCs w:val="21"/>
        </w:rPr>
      </w:pPr>
      <w:r>
        <w:rPr>
          <w:szCs w:val="21"/>
        </w:rPr>
        <w:t>2． 卖方派出的安装队伍须具有相应安装经验, 保证安装达到本合同附件中的安装、调试、保养服务条款的要求。</w:t>
      </w:r>
    </w:p>
    <w:p>
      <w:pPr>
        <w:keepNext w:val="0"/>
        <w:keepLines w:val="0"/>
        <w:pageBreakBefore w:val="0"/>
        <w:tabs>
          <w:tab w:val="left" w:pos="824"/>
        </w:tabs>
        <w:kinsoku/>
        <w:wordWrap/>
        <w:overflowPunct/>
        <w:topLinePunct w:val="0"/>
        <w:bidi w:val="0"/>
        <w:spacing w:line="440" w:lineRule="exact"/>
        <w:ind w:left="422" w:leftChars="1" w:hanging="420" w:hangingChars="200"/>
        <w:outlineLvl w:val="9"/>
        <w:rPr>
          <w:szCs w:val="21"/>
        </w:rPr>
      </w:pPr>
      <w:r>
        <w:rPr>
          <w:szCs w:val="21"/>
        </w:rPr>
        <w:t>3． 卖方必须对买方现场进行详细考察，完全了解工地的状况及环境要求。</w:t>
      </w:r>
    </w:p>
    <w:p>
      <w:pPr>
        <w:keepNext w:val="0"/>
        <w:keepLines w:val="0"/>
        <w:pageBreakBefore w:val="0"/>
        <w:kinsoku/>
        <w:wordWrap/>
        <w:overflowPunct/>
        <w:topLinePunct w:val="0"/>
        <w:bidi w:val="0"/>
        <w:spacing w:line="440" w:lineRule="exact"/>
        <w:outlineLvl w:val="9"/>
        <w:rPr>
          <w:szCs w:val="21"/>
        </w:rPr>
      </w:pPr>
      <w:r>
        <w:rPr>
          <w:szCs w:val="21"/>
        </w:rPr>
        <w:t>4.  卖方负责到用户指定的安装地点进行安装调试。</w:t>
      </w:r>
    </w:p>
    <w:p>
      <w:pPr>
        <w:keepNext w:val="0"/>
        <w:keepLines w:val="0"/>
        <w:pageBreakBefore w:val="0"/>
        <w:kinsoku/>
        <w:wordWrap/>
        <w:overflowPunct/>
        <w:topLinePunct w:val="0"/>
        <w:bidi w:val="0"/>
        <w:spacing w:line="440" w:lineRule="exact"/>
        <w:outlineLvl w:val="9"/>
        <w:rPr>
          <w:szCs w:val="21"/>
        </w:rPr>
      </w:pPr>
      <w:r>
        <w:rPr>
          <w:szCs w:val="21"/>
        </w:rPr>
        <w:t>5.  卖方应设安装负责人，负责安装协调管理工作。</w:t>
      </w:r>
    </w:p>
    <w:p>
      <w:pPr>
        <w:keepNext w:val="0"/>
        <w:keepLines w:val="0"/>
        <w:pageBreakBefore w:val="0"/>
        <w:kinsoku/>
        <w:wordWrap/>
        <w:overflowPunct/>
        <w:topLinePunct w:val="0"/>
        <w:bidi w:val="0"/>
        <w:spacing w:line="440" w:lineRule="exact"/>
        <w:outlineLvl w:val="9"/>
        <w:rPr>
          <w:szCs w:val="21"/>
        </w:rPr>
      </w:pPr>
      <w:r>
        <w:rPr>
          <w:szCs w:val="21"/>
        </w:rPr>
        <w:t>6.  安装所需工具设施物料由卖方自备、自费运到现场，完工后自费搬走。</w:t>
      </w:r>
    </w:p>
    <w:p>
      <w:pPr>
        <w:keepNext w:val="0"/>
        <w:keepLines w:val="0"/>
        <w:pageBreakBefore w:val="0"/>
        <w:tabs>
          <w:tab w:val="left" w:pos="424"/>
        </w:tabs>
        <w:kinsoku/>
        <w:wordWrap/>
        <w:overflowPunct/>
        <w:topLinePunct w:val="0"/>
        <w:autoSpaceDE w:val="0"/>
        <w:autoSpaceDN w:val="0"/>
        <w:bidi w:val="0"/>
        <w:spacing w:line="440" w:lineRule="exact"/>
        <w:ind w:left="420" w:right="-53" w:hanging="420" w:hangingChars="200"/>
        <w:textAlignment w:val="bottom"/>
        <w:outlineLvl w:val="9"/>
      </w:pPr>
      <w:r>
        <w:rPr>
          <w:szCs w:val="21"/>
        </w:rPr>
        <w:t>7.  设备的拆箱、安装、通电、调试等项工作由卖方负责，但必须在买方指定人员的参与下进行。调试的原始记录须经各方签字后作为验收的文件之一。</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现场管理</w:t>
      </w:r>
    </w:p>
    <w:p>
      <w:pPr>
        <w:keepNext w:val="0"/>
        <w:keepLines w:val="0"/>
        <w:pageBreakBefore w:val="0"/>
        <w:tabs>
          <w:tab w:val="left" w:pos="824"/>
        </w:tabs>
        <w:kinsoku/>
        <w:wordWrap/>
        <w:overflowPunct/>
        <w:topLinePunct w:val="0"/>
        <w:bidi w:val="0"/>
        <w:spacing w:line="440" w:lineRule="exact"/>
        <w:ind w:left="317" w:leftChars="1" w:hanging="315" w:hangingChars="150"/>
        <w:outlineLvl w:val="9"/>
      </w:pPr>
      <w:r>
        <w:t>1． 为便于管理，买方和卖方在项目期间的联络，应通过指定的卖方和买方的全权代表进行。</w:t>
      </w:r>
    </w:p>
    <w:p>
      <w:pPr>
        <w:keepNext w:val="0"/>
        <w:keepLines w:val="0"/>
        <w:pageBreakBefore w:val="0"/>
        <w:tabs>
          <w:tab w:val="left" w:pos="824"/>
        </w:tabs>
        <w:kinsoku/>
        <w:wordWrap/>
        <w:overflowPunct/>
        <w:topLinePunct w:val="0"/>
        <w:bidi w:val="0"/>
        <w:spacing w:line="440" w:lineRule="exact"/>
        <w:ind w:left="422" w:leftChars="1" w:hanging="420" w:hangingChars="200"/>
        <w:outlineLvl w:val="9"/>
      </w:pPr>
      <w:r>
        <w:t>2． 从开始交货到竣工验收结束的整个项目期间，买方应实施必要的措施配合卖方做好施工现场的安全工作。</w:t>
      </w:r>
    </w:p>
    <w:p>
      <w:pPr>
        <w:keepNext w:val="0"/>
        <w:keepLines w:val="0"/>
        <w:pageBreakBefore w:val="0"/>
        <w:tabs>
          <w:tab w:val="left" w:pos="824"/>
        </w:tabs>
        <w:kinsoku/>
        <w:wordWrap/>
        <w:overflowPunct/>
        <w:topLinePunct w:val="0"/>
        <w:bidi w:val="0"/>
        <w:spacing w:line="440" w:lineRule="exact"/>
        <w:ind w:left="317" w:leftChars="1" w:hanging="315" w:hangingChars="150"/>
        <w:outlineLvl w:val="9"/>
      </w:pPr>
      <w:r>
        <w:t>3． 卖方派出的服务人员须遵守买方的条例。</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验收方式及质保期</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t>买卖双方按招标文件、投标文件及本合同和有关附件的规定进行验收，具体要求见合同附件</w:t>
      </w:r>
      <w:r>
        <w:rPr>
          <w:u w:val="single"/>
        </w:rPr>
        <w:t xml:space="preserve">          </w:t>
      </w:r>
      <w:r>
        <w:t>。</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t>因物品的质量问题发生争议，由广东省或中山市质检部门进行质量鉴定。物品符合质量标准的，鉴定费由买方承担；物品不符合质量标准的，鉴定费由卖方承担。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rPr>
          <w:rFonts w:ascii="宋体" w:hAnsi="宋体" w:cs="宋体"/>
          <w:color w:val="000000"/>
          <w:szCs w:val="21"/>
        </w:rPr>
        <w:t>产品贮存期：每批出厂的产品都应附有质量证明书，要求到货日期距离贮存期截止日期大于</w:t>
      </w:r>
      <w:r>
        <w:rPr>
          <w:rFonts w:hint="eastAsia" w:ascii="宋体" w:hAnsi="宋体" w:cs="宋体"/>
          <w:color w:val="000000"/>
          <w:szCs w:val="21"/>
        </w:rPr>
        <w:t>20</w:t>
      </w:r>
      <w:r>
        <w:rPr>
          <w:rFonts w:ascii="宋体" w:hAnsi="宋体" w:cs="宋体"/>
          <w:color w:val="000000"/>
          <w:szCs w:val="21"/>
        </w:rPr>
        <w:t>个月。</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rPr>
          <w:b/>
          <w:bCs/>
        </w:rPr>
      </w:pPr>
      <w:r>
        <w:rPr>
          <w:szCs w:val="21"/>
        </w:rPr>
        <w:t>对甲方的服务通知，乙方在接报后</w:t>
      </w:r>
      <w:r>
        <w:rPr>
          <w:rFonts w:hint="eastAsia"/>
          <w:szCs w:val="21"/>
        </w:rPr>
        <w:t>6</w:t>
      </w:r>
      <w:r>
        <w:rPr>
          <w:szCs w:val="21"/>
        </w:rPr>
        <w:t>小时内响应，</w:t>
      </w:r>
      <w:r>
        <w:rPr>
          <w:rFonts w:hint="eastAsia"/>
          <w:szCs w:val="21"/>
        </w:rPr>
        <w:t>2</w:t>
      </w:r>
      <w:r>
        <w:rPr>
          <w:szCs w:val="21"/>
        </w:rPr>
        <w:t>4小时内到达现场</w:t>
      </w:r>
      <w:r>
        <w:rPr>
          <w:rFonts w:hint="eastAsia"/>
          <w:szCs w:val="21"/>
        </w:rPr>
        <w:t>。</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rPr>
          <w:b/>
          <w:bCs/>
        </w:rPr>
      </w:pPr>
      <w:r>
        <w:rPr>
          <w:b/>
          <w:bCs/>
        </w:rPr>
        <w:t>在质保期内如有设备或部件不能使用需更换，则该部分设备或部件质保期相应延长。</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产品质量及售后服务</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卖方必须保证所提供的产品必须是完整的、技术先进且全新的（包括所有零配件、专用工具等）专业产品，并且符合国家以及该产品的出厂标准，其技术性能能满足各项技术参数和安全稳定运行的要求。若在调试过程中发现附件不全或不能运行，卖方应无偿补全、完善或更换，并承担用户由此产生的损失。</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rPr>
          <w:rFonts w:ascii="宋体" w:hAnsi="宋体" w:cs="宋体"/>
          <w:color w:val="000000"/>
          <w:szCs w:val="21"/>
        </w:rPr>
        <w:t>产品贮存期：每批出厂的产品都应附有质量证明书，要求到货日期距离贮存期截止日期大于</w:t>
      </w:r>
      <w:r>
        <w:rPr>
          <w:rFonts w:hint="eastAsia" w:ascii="宋体" w:hAnsi="宋体" w:cs="宋体"/>
          <w:color w:val="000000"/>
          <w:szCs w:val="21"/>
        </w:rPr>
        <w:t>20</w:t>
      </w:r>
      <w:r>
        <w:rPr>
          <w:rFonts w:ascii="宋体" w:hAnsi="宋体" w:cs="宋体"/>
          <w:color w:val="000000"/>
          <w:szCs w:val="21"/>
        </w:rPr>
        <w:t>个月。</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rPr>
          <w:szCs w:val="21"/>
        </w:rPr>
        <w:t>对甲方的服务通知，乙方在接报后</w:t>
      </w:r>
      <w:r>
        <w:rPr>
          <w:rFonts w:hint="eastAsia"/>
          <w:szCs w:val="21"/>
        </w:rPr>
        <w:t>6</w:t>
      </w:r>
      <w:r>
        <w:rPr>
          <w:szCs w:val="21"/>
        </w:rPr>
        <w:t>小时内响应，</w:t>
      </w:r>
      <w:r>
        <w:rPr>
          <w:rFonts w:hint="eastAsia"/>
          <w:szCs w:val="21"/>
        </w:rPr>
        <w:t>2</w:t>
      </w:r>
      <w:r>
        <w:rPr>
          <w:szCs w:val="21"/>
        </w:rPr>
        <w:t>4小时内到达现场。</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所有服务方式均为卖方上门保修，即由卖方派人到买方使用现场进行维修，由此产生的一切费用均由卖方承担。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卖方须提供售后技术支持中心的详细资料，提出质保期满后的收费维修、维护内容，费用(该费用不包括在报价总报价内)和服务方式、范围。</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（招标文件中所列以上未提及的内容。）</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培训</w:t>
      </w:r>
    </w:p>
    <w:p>
      <w:pPr>
        <w:keepNext w:val="0"/>
        <w:keepLines w:val="0"/>
        <w:pageBreakBefore w:val="0"/>
        <w:numPr>
          <w:ilvl w:val="0"/>
          <w:numId w:val="35"/>
        </w:numPr>
        <w:kinsoku/>
        <w:wordWrap/>
        <w:overflowPunct/>
        <w:topLinePunct w:val="0"/>
        <w:bidi w:val="0"/>
        <w:adjustRightInd w:val="0"/>
        <w:snapToGrid w:val="0"/>
        <w:spacing w:line="440" w:lineRule="exact"/>
        <w:outlineLvl w:val="9"/>
      </w:pPr>
      <w:r>
        <w:t>本项目实施过程中，</w:t>
      </w:r>
      <w:r>
        <w:rPr>
          <w:spacing w:val="20"/>
        </w:rPr>
        <w:t>卖方</w:t>
      </w:r>
      <w:r>
        <w:t>需对买方人员进行全面的技术培训。</w:t>
      </w:r>
    </w:p>
    <w:p>
      <w:pPr>
        <w:keepNext w:val="0"/>
        <w:keepLines w:val="0"/>
        <w:pageBreakBefore w:val="0"/>
        <w:numPr>
          <w:ilvl w:val="0"/>
          <w:numId w:val="35"/>
        </w:numPr>
        <w:kinsoku/>
        <w:wordWrap/>
        <w:overflowPunct/>
        <w:topLinePunct w:val="0"/>
        <w:bidi w:val="0"/>
        <w:adjustRightInd w:val="0"/>
        <w:snapToGrid w:val="0"/>
        <w:spacing w:line="440" w:lineRule="exact"/>
        <w:outlineLvl w:val="9"/>
      </w:pPr>
      <w:r>
        <w:rPr>
          <w:snapToGrid w:val="0"/>
          <w:szCs w:val="21"/>
        </w:rPr>
        <w:t>培训计划应至少包括设备的维护管理、故障的诊断与处理等方面的培训。</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技术资料</w:t>
      </w:r>
    </w:p>
    <w:p>
      <w:pPr>
        <w:keepNext w:val="0"/>
        <w:keepLines w:val="0"/>
        <w:pageBreakBefore w:val="0"/>
        <w:widowControl w:val="0"/>
        <w:numPr>
          <w:ilvl w:val="0"/>
          <w:numId w:val="36"/>
        </w:numPr>
        <w:tabs>
          <w:tab w:val="left" w:pos="0"/>
          <w:tab w:val="clear" w:pos="590"/>
        </w:tabs>
        <w:kinsoku/>
        <w:wordWrap/>
        <w:overflowPunct/>
        <w:topLinePunct w:val="0"/>
        <w:autoSpaceDE w:val="0"/>
        <w:autoSpaceDN w:val="0"/>
        <w:bidi w:val="0"/>
        <w:adjustRightInd w:val="0"/>
        <w:spacing w:line="440" w:lineRule="exact"/>
        <w:ind w:left="434" w:hanging="434"/>
        <w:jc w:val="both"/>
        <w:outlineLvl w:val="9"/>
      </w:pPr>
      <w:r>
        <w:t>卖方应于验收后向买方提供所有设备的技术资料、证明材料、检验证书。</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知识产权</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卖方应保证，买方在中华人民共和国使用该设备或货物的任何一部分时，免受第三方提出的侵犯其专利权、商标权或其他知识产权的起诉。如发生此类纠纷，由卖方承担一切责任。</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卖方为执行本合同而提供的技术资料、软件的使用权归买方所有。</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产权与风险转移</w:t>
      </w:r>
    </w:p>
    <w:p>
      <w:pPr>
        <w:keepNext w:val="0"/>
        <w:keepLines w:val="0"/>
        <w:pageBreakBefore w:val="0"/>
        <w:widowControl w:val="0"/>
        <w:numPr>
          <w:ilvl w:val="0"/>
          <w:numId w:val="37"/>
        </w:numPr>
        <w:tabs>
          <w:tab w:val="left" w:pos="424"/>
        </w:tabs>
        <w:kinsoku/>
        <w:wordWrap/>
        <w:overflowPunct/>
        <w:topLinePunct w:val="0"/>
        <w:bidi w:val="0"/>
        <w:spacing w:line="440" w:lineRule="exact"/>
        <w:ind w:left="-420" w:leftChars="0" w:firstLine="420" w:firstLineChars="200"/>
        <w:jc w:val="both"/>
        <w:outlineLvl w:val="9"/>
      </w:pPr>
      <w:r>
        <w:rPr>
          <w:rFonts w:hint="eastAsia"/>
          <w:lang w:val="en-US" w:eastAsia="zh-CN"/>
        </w:rPr>
        <w:t xml:space="preserve">  </w:t>
      </w:r>
      <w:r>
        <w:t>设备的产权，在设备验收合格并移交交付后由卖方转移至买方。</w:t>
      </w:r>
    </w:p>
    <w:p>
      <w:pPr>
        <w:keepNext w:val="0"/>
        <w:keepLines w:val="0"/>
        <w:pageBreakBefore w:val="0"/>
        <w:widowControl w:val="0"/>
        <w:numPr>
          <w:ilvl w:val="0"/>
          <w:numId w:val="37"/>
        </w:numPr>
        <w:tabs>
          <w:tab w:val="left" w:pos="424"/>
        </w:tabs>
        <w:kinsoku/>
        <w:wordWrap/>
        <w:overflowPunct/>
        <w:topLinePunct w:val="0"/>
        <w:bidi w:val="0"/>
        <w:spacing w:line="440" w:lineRule="exact"/>
        <w:ind w:left="-420" w:leftChars="0" w:firstLine="420" w:firstLineChars="200"/>
        <w:jc w:val="both"/>
        <w:outlineLvl w:val="9"/>
      </w:pPr>
      <w:r>
        <w:rPr>
          <w:rFonts w:hint="eastAsia"/>
          <w:lang w:val="en-US" w:eastAsia="zh-CN"/>
        </w:rPr>
        <w:t xml:space="preserve">  </w:t>
      </w:r>
      <w:r>
        <w:t>设备损坏、灭失风险在验收合格，买卖双方签署验收合格证书并移交交付使用时由卖方转移至买方。</w:t>
      </w:r>
    </w:p>
    <w:p>
      <w:pPr>
        <w:keepNext w:val="0"/>
        <w:keepLines w:val="0"/>
        <w:pageBreakBefore w:val="0"/>
        <w:widowControl w:val="0"/>
        <w:numPr>
          <w:ilvl w:val="0"/>
          <w:numId w:val="37"/>
        </w:numPr>
        <w:tabs>
          <w:tab w:val="left" w:pos="424"/>
        </w:tabs>
        <w:kinsoku/>
        <w:wordWrap/>
        <w:overflowPunct/>
        <w:topLinePunct w:val="0"/>
        <w:bidi w:val="0"/>
        <w:spacing w:line="440" w:lineRule="exact"/>
        <w:ind w:left="-420" w:leftChars="0" w:firstLine="420" w:firstLineChars="200"/>
        <w:jc w:val="both"/>
        <w:outlineLvl w:val="9"/>
      </w:pPr>
      <w:r>
        <w:rPr>
          <w:rFonts w:hint="eastAsia"/>
          <w:lang w:val="en-US" w:eastAsia="zh-CN"/>
        </w:rPr>
        <w:t xml:space="preserve">  </w:t>
      </w:r>
      <w:r>
        <w:t>如设备不符合合同约定，买方可以拒收，在拒收情况下，或者解除合同的，设备毁损、灭失的风险由卖方承担。</w:t>
      </w:r>
    </w:p>
    <w:p>
      <w:pPr>
        <w:keepNext w:val="0"/>
        <w:keepLines w:val="0"/>
        <w:pageBreakBefore w:val="0"/>
        <w:widowControl w:val="0"/>
        <w:numPr>
          <w:ilvl w:val="0"/>
          <w:numId w:val="37"/>
        </w:numPr>
        <w:tabs>
          <w:tab w:val="left" w:pos="424"/>
        </w:tabs>
        <w:kinsoku/>
        <w:wordWrap/>
        <w:overflowPunct/>
        <w:topLinePunct w:val="0"/>
        <w:bidi w:val="0"/>
        <w:spacing w:line="440" w:lineRule="exact"/>
        <w:ind w:left="-420" w:leftChars="0" w:firstLine="420" w:firstLineChars="200"/>
        <w:jc w:val="both"/>
        <w:outlineLvl w:val="9"/>
      </w:pPr>
      <w:r>
        <w:rPr>
          <w:rFonts w:hint="eastAsia"/>
          <w:lang w:val="en-US" w:eastAsia="zh-CN"/>
        </w:rPr>
        <w:t xml:space="preserve">  </w:t>
      </w:r>
      <w:r>
        <w:t>产权和风险的转移，不影响因卖方履行义务不符合约定，买方要求其承担违约责任的权利。</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索赔</w:t>
      </w:r>
    </w:p>
    <w:p>
      <w:pPr>
        <w:keepNext w:val="0"/>
        <w:keepLines w:val="0"/>
        <w:pageBreakBefore w:val="0"/>
        <w:widowControl w:val="0"/>
        <w:numPr>
          <w:ilvl w:val="1"/>
          <w:numId w:val="29"/>
        </w:numPr>
        <w:tabs>
          <w:tab w:val="left" w:pos="424"/>
        </w:tabs>
        <w:kinsoku/>
        <w:wordWrap/>
        <w:overflowPunct/>
        <w:topLinePunct w:val="0"/>
        <w:bidi w:val="0"/>
        <w:spacing w:line="440" w:lineRule="exact"/>
        <w:ind w:hanging="794"/>
        <w:outlineLvl w:val="9"/>
      </w:pPr>
      <w:r>
        <w:t>验收不合格，买方有权根据有关政府部门的检验结果向卖方提出索赔。</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t>在合同执行期间，如果卖方对买方提出的索赔和差异负有责任，卖方应按照买方同意的下列一种或多种方式解决索赔事宜：</w:t>
      </w:r>
    </w:p>
    <w:p>
      <w:pPr>
        <w:keepNext w:val="0"/>
        <w:keepLines w:val="0"/>
        <w:pageBreakBefore w:val="0"/>
        <w:widowControl w:val="0"/>
        <w:numPr>
          <w:ilvl w:val="2"/>
          <w:numId w:val="29"/>
        </w:numPr>
        <w:tabs>
          <w:tab w:val="left" w:pos="530"/>
          <w:tab w:val="clear" w:pos="1200"/>
        </w:tabs>
        <w:kinsoku/>
        <w:wordWrap/>
        <w:overflowPunct/>
        <w:topLinePunct w:val="0"/>
        <w:bidi w:val="0"/>
        <w:spacing w:line="440" w:lineRule="exact"/>
        <w:ind w:left="530" w:hanging="530"/>
        <w:jc w:val="both"/>
        <w:outlineLvl w:val="9"/>
      </w:pPr>
      <w:r>
        <w:t>卖方同意退货，并按合同规定的同种货币将货款退还给买方，并承担由此发生的一切损失和费用。</w:t>
      </w:r>
    </w:p>
    <w:p>
      <w:pPr>
        <w:keepNext w:val="0"/>
        <w:keepLines w:val="0"/>
        <w:pageBreakBefore w:val="0"/>
        <w:widowControl w:val="0"/>
        <w:numPr>
          <w:ilvl w:val="2"/>
          <w:numId w:val="29"/>
        </w:numPr>
        <w:tabs>
          <w:tab w:val="left" w:pos="530"/>
          <w:tab w:val="clear" w:pos="1200"/>
        </w:tabs>
        <w:kinsoku/>
        <w:wordWrap/>
        <w:overflowPunct/>
        <w:topLinePunct w:val="0"/>
        <w:bidi w:val="0"/>
        <w:spacing w:line="440" w:lineRule="exact"/>
        <w:ind w:left="530" w:hanging="530"/>
        <w:jc w:val="both"/>
        <w:outlineLvl w:val="9"/>
      </w:pPr>
      <w:r>
        <w:t>根据设备低劣程度、损坏程度以及买方所遭受损失的数额买卖双方商定降低设备的价格。</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t>用符合规格、质量和性能要求的新零件、部件或设备来更换有缺陷的部分或修补缺陷的部分，卖方应承担一切费用和风险并负有买方所发生的一切直接费用。同时，相应延长质量保证期。</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违约责任</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卖方交付的物品不符合合同规定的，买方有权拒收，卖方向买方支付货款总金额5%的违约金；</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买方无正当理由拒收物品，拒付货款的，买方向卖方偿付物品总金额5%的违约金；</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卖方逾期完工，则每日按合同总额3‰ 向对方偿付违约金，逾期交付超过15天，买方有权终止合同，由此造成的买方经济损失由卖方承担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rPr>
          <w:kern w:val="2"/>
          <w:szCs w:val="21"/>
        </w:rPr>
        <w:t>买房逾期付款，则每日按本合同总价的</w:t>
      </w:r>
      <w:r>
        <w:rPr>
          <w:szCs w:val="21"/>
        </w:rPr>
        <w:t>3‰向</w:t>
      </w:r>
      <w:r>
        <w:rPr>
          <w:kern w:val="2"/>
          <w:szCs w:val="21"/>
        </w:rPr>
        <w:t>卖方偿付违约金。</w:t>
      </w:r>
    </w:p>
    <w:p>
      <w:pPr>
        <w:keepNext w:val="0"/>
        <w:keepLines w:val="0"/>
        <w:pageBreakBefore w:val="0"/>
        <w:widowControl w:val="0"/>
        <w:numPr>
          <w:ilvl w:val="0"/>
          <w:numId w:val="29"/>
        </w:numPr>
        <w:tabs>
          <w:tab w:val="left" w:pos="826"/>
          <w:tab w:val="clear" w:pos="720"/>
        </w:tabs>
        <w:kinsoku/>
        <w:wordWrap/>
        <w:overflowPunct/>
        <w:topLinePunct w:val="0"/>
        <w:bidi w:val="0"/>
        <w:spacing w:line="440" w:lineRule="exact"/>
        <w:jc w:val="both"/>
        <w:outlineLvl w:val="9"/>
        <w:rPr>
          <w:b/>
          <w:sz w:val="24"/>
        </w:rPr>
      </w:pPr>
      <w:r>
        <w:rPr>
          <w:b/>
          <w:sz w:val="24"/>
        </w:rPr>
        <w:t>争端的解决</w:t>
      </w:r>
    </w:p>
    <w:p>
      <w:pPr>
        <w:keepNext w:val="0"/>
        <w:keepLines w:val="0"/>
        <w:pageBreakBefore w:val="0"/>
        <w:widowControl w:val="0"/>
        <w:numPr>
          <w:ilvl w:val="1"/>
          <w:numId w:val="29"/>
        </w:numPr>
        <w:tabs>
          <w:tab w:val="left" w:pos="530"/>
        </w:tabs>
        <w:kinsoku/>
        <w:wordWrap/>
        <w:overflowPunct/>
        <w:topLinePunct w:val="0"/>
        <w:bidi w:val="0"/>
        <w:spacing w:line="440" w:lineRule="exact"/>
        <w:ind w:left="530" w:hanging="530"/>
        <w:jc w:val="both"/>
        <w:outlineLvl w:val="9"/>
      </w:pPr>
      <w:r>
        <w:t>凡与本合同有关而引起的一切争议，买卖双方应首先通过友好协商解决，如经协商后仍不能达成协议时，任何一方可以向买方所在地法院提出诉讼。</w:t>
      </w:r>
    </w:p>
    <w:p>
      <w:pPr>
        <w:keepNext w:val="0"/>
        <w:keepLines w:val="0"/>
        <w:pageBreakBefore w:val="0"/>
        <w:widowControl w:val="0"/>
        <w:numPr>
          <w:ilvl w:val="1"/>
          <w:numId w:val="29"/>
        </w:numPr>
        <w:tabs>
          <w:tab w:val="left" w:pos="530"/>
        </w:tabs>
        <w:kinsoku/>
        <w:wordWrap/>
        <w:overflowPunct/>
        <w:topLinePunct w:val="0"/>
        <w:bidi w:val="0"/>
        <w:spacing w:line="440" w:lineRule="exact"/>
        <w:ind w:left="530" w:hanging="530"/>
        <w:jc w:val="both"/>
        <w:outlineLvl w:val="9"/>
      </w:pPr>
      <w:r>
        <w:t>本合同的诉讼管辖地为买方所在地的法院。</w:t>
      </w:r>
    </w:p>
    <w:p>
      <w:pPr>
        <w:keepNext w:val="0"/>
        <w:keepLines w:val="0"/>
        <w:pageBreakBefore w:val="0"/>
        <w:widowControl w:val="0"/>
        <w:numPr>
          <w:ilvl w:val="1"/>
          <w:numId w:val="29"/>
        </w:numPr>
        <w:tabs>
          <w:tab w:val="left" w:pos="530"/>
        </w:tabs>
        <w:kinsoku/>
        <w:wordWrap/>
        <w:overflowPunct/>
        <w:topLinePunct w:val="0"/>
        <w:bidi w:val="0"/>
        <w:spacing w:line="440" w:lineRule="exact"/>
        <w:ind w:left="530" w:hanging="530"/>
        <w:jc w:val="both"/>
        <w:outlineLvl w:val="9"/>
      </w:pPr>
      <w:r>
        <w:t>在进行法院审理期间，除提交法院审理的事项外，合同其他部分仍应继续履行。</w:t>
      </w:r>
    </w:p>
    <w:p>
      <w:pPr>
        <w:keepNext w:val="0"/>
        <w:keepLines w:val="0"/>
        <w:pageBreakBefore w:val="0"/>
        <w:widowControl w:val="0"/>
        <w:numPr>
          <w:ilvl w:val="1"/>
          <w:numId w:val="29"/>
        </w:numPr>
        <w:tabs>
          <w:tab w:val="left" w:pos="530"/>
        </w:tabs>
        <w:kinsoku/>
        <w:wordWrap/>
        <w:overflowPunct/>
        <w:topLinePunct w:val="0"/>
        <w:bidi w:val="0"/>
        <w:spacing w:line="440" w:lineRule="exact"/>
        <w:ind w:left="530" w:hanging="530"/>
        <w:jc w:val="both"/>
        <w:outlineLvl w:val="9"/>
      </w:pPr>
      <w:r>
        <w:t>本合同按照中华人民共和国的法律进行解释。</w:t>
      </w:r>
    </w:p>
    <w:p>
      <w:pPr>
        <w:keepNext w:val="0"/>
        <w:keepLines w:val="0"/>
        <w:pageBreakBefore w:val="0"/>
        <w:widowControl w:val="0"/>
        <w:numPr>
          <w:ilvl w:val="0"/>
          <w:numId w:val="29"/>
        </w:numPr>
        <w:tabs>
          <w:tab w:val="left" w:pos="840"/>
          <w:tab w:val="clear" w:pos="720"/>
        </w:tabs>
        <w:kinsoku/>
        <w:wordWrap/>
        <w:overflowPunct/>
        <w:topLinePunct w:val="0"/>
        <w:bidi w:val="0"/>
        <w:spacing w:line="440" w:lineRule="exact"/>
        <w:jc w:val="both"/>
        <w:outlineLvl w:val="9"/>
        <w:rPr>
          <w:b/>
          <w:sz w:val="24"/>
        </w:rPr>
      </w:pPr>
      <w:r>
        <w:rPr>
          <w:b/>
          <w:sz w:val="24"/>
        </w:rPr>
        <w:t>不可抗力</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不可抗力事件指买卖双方在缔结合同时所不能预见的并且它的发生及其后果是无法避免和克服的事件，如战争、严重水灾、洪水、台风、地震等。</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b/>
        </w:rPr>
      </w:pPr>
      <w:r>
        <w:t>由于一般公认的不可抗拒的原因造成不可意料的事故而不能按合同规定交货验收时，卖方应立即以书面形式通告买方，证明事故的存在。</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在不可抗力事件发生后,双方应努力寻求采取合理的方案履行不受不可抗力影响的其他事项。如不可抗拒因素继续存在并持续影响</w:t>
      </w:r>
      <w:r>
        <w:rPr>
          <w:szCs w:val="21"/>
        </w:rPr>
        <w:t>达_1天以上</w:t>
      </w:r>
      <w:r>
        <w:t>，买卖双方应通过友好协商方式在合理的时间内达成进一步履行合同或解除合同。这时，买卖双方均不互提出索赔，买方不承担终止合同的责任，但不影响双方对非不可抗力造成的违约追究责任。</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如卖方逾期交货之后遭受不可抗力，不能享受本条规定的责任免除。</w:t>
      </w:r>
    </w:p>
    <w:p>
      <w:pPr>
        <w:keepNext w:val="0"/>
        <w:keepLines w:val="0"/>
        <w:pageBreakBefore w:val="0"/>
        <w:widowControl w:val="0"/>
        <w:numPr>
          <w:ilvl w:val="0"/>
          <w:numId w:val="29"/>
        </w:numPr>
        <w:tabs>
          <w:tab w:val="left" w:pos="840"/>
          <w:tab w:val="clear" w:pos="720"/>
        </w:tabs>
        <w:kinsoku/>
        <w:wordWrap/>
        <w:overflowPunct/>
        <w:topLinePunct w:val="0"/>
        <w:bidi w:val="0"/>
        <w:spacing w:line="440" w:lineRule="exact"/>
        <w:jc w:val="both"/>
        <w:outlineLvl w:val="9"/>
        <w:rPr>
          <w:b/>
          <w:sz w:val="24"/>
        </w:rPr>
      </w:pPr>
      <w:r>
        <w:rPr>
          <w:b/>
          <w:sz w:val="24"/>
        </w:rPr>
        <w:t>税和关税</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中国政府根据现行税法对买方征收的与本合同有关的一切税费均应由买方负担。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中国政府根据现行的税法规定对卖方或其雇员征收的与本合同有关的一切税费（包括但不限于产品的进口关税、所有产品的国内增值税）均应由卖方负担。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在中国境外发生的与本合同执行有关的一切税费均应由卖方负担。</w:t>
      </w:r>
    </w:p>
    <w:p>
      <w:pPr>
        <w:keepNext w:val="0"/>
        <w:keepLines w:val="0"/>
        <w:pageBreakBefore w:val="0"/>
        <w:widowControl w:val="0"/>
        <w:numPr>
          <w:ilvl w:val="0"/>
          <w:numId w:val="29"/>
        </w:numPr>
        <w:tabs>
          <w:tab w:val="left" w:pos="840"/>
          <w:tab w:val="left" w:pos="1060"/>
          <w:tab w:val="clear" w:pos="720"/>
        </w:tabs>
        <w:kinsoku/>
        <w:wordWrap/>
        <w:overflowPunct/>
        <w:topLinePunct w:val="0"/>
        <w:bidi w:val="0"/>
        <w:spacing w:line="440" w:lineRule="exact"/>
        <w:jc w:val="both"/>
        <w:outlineLvl w:val="9"/>
        <w:rPr>
          <w:b/>
          <w:sz w:val="24"/>
        </w:rPr>
      </w:pPr>
      <w:r>
        <w:rPr>
          <w:b/>
          <w:sz w:val="24"/>
        </w:rPr>
        <w:t>合同生效</w:t>
      </w:r>
    </w:p>
    <w:p>
      <w:pPr>
        <w:keepNext w:val="0"/>
        <w:keepLines w:val="0"/>
        <w:pageBreakBefore w:val="0"/>
        <w:tabs>
          <w:tab w:val="left" w:pos="800"/>
        </w:tabs>
        <w:kinsoku/>
        <w:wordWrap/>
        <w:overflowPunct/>
        <w:topLinePunct w:val="0"/>
        <w:bidi w:val="0"/>
        <w:spacing w:line="440" w:lineRule="exact"/>
        <w:ind w:firstLine="420"/>
        <w:outlineLvl w:val="9"/>
      </w:pPr>
      <w:r>
        <w:t>本合同经双方授权代表签字盖章后生效。</w:t>
      </w:r>
    </w:p>
    <w:p>
      <w:pPr>
        <w:keepNext w:val="0"/>
        <w:keepLines w:val="0"/>
        <w:pageBreakBefore w:val="0"/>
        <w:widowControl w:val="0"/>
        <w:numPr>
          <w:ilvl w:val="0"/>
          <w:numId w:val="29"/>
        </w:numPr>
        <w:tabs>
          <w:tab w:val="left" w:pos="1060"/>
          <w:tab w:val="clear" w:pos="720"/>
        </w:tabs>
        <w:kinsoku/>
        <w:wordWrap/>
        <w:overflowPunct/>
        <w:topLinePunct w:val="0"/>
        <w:bidi w:val="0"/>
        <w:spacing w:line="440" w:lineRule="exact"/>
        <w:jc w:val="both"/>
        <w:outlineLvl w:val="9"/>
        <w:rPr>
          <w:b/>
          <w:sz w:val="24"/>
        </w:rPr>
      </w:pPr>
      <w:r>
        <w:rPr>
          <w:b/>
          <w:sz w:val="24"/>
        </w:rPr>
        <w:t>其它</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b/>
          <w:szCs w:val="21"/>
        </w:rPr>
      </w:pPr>
      <w:r>
        <w:rPr>
          <w:szCs w:val="21"/>
        </w:rPr>
        <w:t>本项目的招标文件、投标文件及相关的澄清文件为签定本合同的根本依据，本合同的任何条款与上述文件相抵触的，以上述文件为准。</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b/>
          <w:szCs w:val="21"/>
        </w:rPr>
      </w:pPr>
      <w:r>
        <w:rPr>
          <w:szCs w:val="21"/>
        </w:rPr>
        <w:t>本合同之所有附件均为合同的有效组成部分，与本合同具有同样法律效力。合同与附件之间内容应认为是互为补充和解释，但如有模棱两可或相互矛盾之处，以时间在后的文件为准。</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在执行本合同的过程中，卖方需遵守所有经买卖双方签署确认的文件（包括会议纪要、补充协议、往来信函）即成为本合同的有效组成部分，其生效日期为双方签字盖章或确认之日期。</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除买方事先书面同意外，卖方不得部分或全部转让其应履行的合同项下的义务。</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b/>
          <w:bCs/>
          <w:szCs w:val="21"/>
          <w:highlight w:val="none"/>
        </w:rPr>
      </w:pPr>
      <w:r>
        <w:rPr>
          <w:b/>
          <w:bCs/>
          <w:szCs w:val="21"/>
          <w:highlight w:val="none"/>
        </w:rPr>
        <w:t>本合同正本一式</w:t>
      </w:r>
      <w:r>
        <w:rPr>
          <w:rFonts w:hint="eastAsia"/>
          <w:b/>
          <w:bCs/>
          <w:szCs w:val="21"/>
          <w:highlight w:val="none"/>
          <w:lang w:eastAsia="zh-CN"/>
        </w:rPr>
        <w:t>伍</w:t>
      </w:r>
      <w:r>
        <w:rPr>
          <w:b/>
          <w:bCs/>
          <w:szCs w:val="21"/>
          <w:highlight w:val="none"/>
        </w:rPr>
        <w:t>份，</w:t>
      </w:r>
      <w:r>
        <w:rPr>
          <w:rFonts w:hint="eastAsia"/>
          <w:b/>
          <w:bCs/>
          <w:szCs w:val="21"/>
          <w:highlight w:val="none"/>
        </w:rPr>
        <w:t>买</w:t>
      </w:r>
      <w:r>
        <w:rPr>
          <w:b/>
          <w:bCs/>
          <w:szCs w:val="21"/>
          <w:highlight w:val="none"/>
        </w:rPr>
        <w:t>方</w:t>
      </w:r>
      <w:r>
        <w:rPr>
          <w:rFonts w:hint="eastAsia"/>
          <w:b/>
          <w:bCs/>
          <w:szCs w:val="21"/>
          <w:highlight w:val="none"/>
          <w:lang w:eastAsia="zh-CN"/>
        </w:rPr>
        <w:t>两</w:t>
      </w:r>
      <w:r>
        <w:rPr>
          <w:b/>
          <w:bCs/>
          <w:szCs w:val="21"/>
          <w:highlight w:val="none"/>
        </w:rPr>
        <w:t>份，卖方</w:t>
      </w:r>
      <w:r>
        <w:rPr>
          <w:rFonts w:hint="eastAsia"/>
          <w:b/>
          <w:bCs/>
          <w:szCs w:val="21"/>
          <w:highlight w:val="none"/>
          <w:lang w:eastAsia="zh-CN"/>
        </w:rPr>
        <w:t>两份</w:t>
      </w:r>
      <w:r>
        <w:rPr>
          <w:b/>
          <w:bCs/>
          <w:szCs w:val="21"/>
          <w:highlight w:val="none"/>
        </w:rPr>
        <w:t>、招标代理机构一份。</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本合同合计________页A4纸张，缺页之合同为无效合同。</w:t>
      </w:r>
    </w:p>
    <w:p>
      <w:pPr>
        <w:keepNext w:val="0"/>
        <w:keepLines w:val="0"/>
        <w:pageBreakBefore w:val="0"/>
        <w:kinsoku/>
        <w:wordWrap/>
        <w:overflowPunct/>
        <w:topLinePunct w:val="0"/>
        <w:bidi w:val="0"/>
        <w:spacing w:line="440" w:lineRule="exact"/>
        <w:outlineLvl w:val="9"/>
        <w:rPr>
          <w:szCs w:val="21"/>
        </w:rPr>
      </w:pPr>
    </w:p>
    <w:p>
      <w:pPr>
        <w:keepNext w:val="0"/>
        <w:keepLines w:val="0"/>
        <w:pageBreakBefore w:val="0"/>
        <w:kinsoku/>
        <w:wordWrap/>
        <w:overflowPunct/>
        <w:topLinePunct w:val="0"/>
        <w:bidi w:val="0"/>
        <w:spacing w:line="440" w:lineRule="exact"/>
        <w:outlineLvl w:val="9"/>
        <w:rPr>
          <w:szCs w:val="21"/>
        </w:rPr>
      </w:pPr>
    </w:p>
    <w:p>
      <w:pPr>
        <w:keepNext w:val="0"/>
        <w:keepLines w:val="0"/>
        <w:pageBreakBefore w:val="0"/>
        <w:kinsoku/>
        <w:wordWrap/>
        <w:overflowPunct/>
        <w:topLinePunct w:val="0"/>
        <w:bidi w:val="0"/>
        <w:spacing w:line="440" w:lineRule="exact"/>
        <w:outlineLvl w:val="9"/>
        <w:rPr>
          <w:szCs w:val="21"/>
        </w:rPr>
      </w:pPr>
      <w:r>
        <w:rPr>
          <w:szCs w:val="21"/>
        </w:rPr>
        <w:t>买方（盖章）：                                  卖方（盖章）：</w:t>
      </w:r>
    </w:p>
    <w:p>
      <w:pPr>
        <w:keepNext w:val="0"/>
        <w:keepLines w:val="0"/>
        <w:pageBreakBefore w:val="0"/>
        <w:kinsoku/>
        <w:wordWrap/>
        <w:overflowPunct/>
        <w:topLinePunct w:val="0"/>
        <w:bidi w:val="0"/>
        <w:spacing w:line="440" w:lineRule="exact"/>
        <w:outlineLvl w:val="9"/>
        <w:rPr>
          <w:szCs w:val="21"/>
        </w:rPr>
      </w:pPr>
      <w:r>
        <w:rPr>
          <w:szCs w:val="21"/>
        </w:rPr>
        <w:t xml:space="preserve">买方法定代表（签字）：                 </w:t>
      </w:r>
      <w:r>
        <w:rPr>
          <w:rFonts w:hint="eastAsia"/>
          <w:szCs w:val="21"/>
          <w:lang w:val="en-US" w:eastAsia="zh-CN"/>
        </w:rPr>
        <w:t xml:space="preserve"> </w:t>
      </w:r>
      <w:r>
        <w:rPr>
          <w:szCs w:val="21"/>
        </w:rPr>
        <w:t>卖方法定代表（签字）：</w:t>
      </w:r>
    </w:p>
    <w:p>
      <w:pPr>
        <w:keepNext w:val="0"/>
        <w:keepLines w:val="0"/>
        <w:pageBreakBefore w:val="0"/>
        <w:kinsoku/>
        <w:wordWrap/>
        <w:overflowPunct/>
        <w:topLinePunct w:val="0"/>
        <w:bidi w:val="0"/>
        <w:spacing w:line="440" w:lineRule="exact"/>
        <w:outlineLvl w:val="9"/>
        <w:rPr>
          <w:szCs w:val="21"/>
        </w:rPr>
      </w:pPr>
      <w:r>
        <w:rPr>
          <w:szCs w:val="21"/>
        </w:rPr>
        <w:t xml:space="preserve">地    址：                                      </w:t>
      </w:r>
      <w:r>
        <w:rPr>
          <w:rFonts w:hint="eastAsia"/>
          <w:szCs w:val="21"/>
          <w:lang w:val="en-US" w:eastAsia="zh-CN"/>
        </w:rPr>
        <w:t xml:space="preserve">        </w:t>
      </w:r>
      <w:r>
        <w:rPr>
          <w:szCs w:val="21"/>
        </w:rPr>
        <w:t>地    址：</w:t>
      </w:r>
    </w:p>
    <w:p>
      <w:pPr>
        <w:keepNext w:val="0"/>
        <w:keepLines w:val="0"/>
        <w:pageBreakBefore w:val="0"/>
        <w:kinsoku/>
        <w:wordWrap/>
        <w:overflowPunct/>
        <w:topLinePunct w:val="0"/>
        <w:bidi w:val="0"/>
        <w:spacing w:line="440" w:lineRule="exact"/>
        <w:outlineLvl w:val="9"/>
        <w:rPr>
          <w:szCs w:val="21"/>
        </w:rPr>
      </w:pPr>
      <w:r>
        <w:rPr>
          <w:szCs w:val="21"/>
        </w:rPr>
        <w:t xml:space="preserve">邮政编码：                                      </w:t>
      </w:r>
      <w:r>
        <w:rPr>
          <w:rFonts w:hint="eastAsia"/>
          <w:szCs w:val="21"/>
          <w:lang w:val="en-US" w:eastAsia="zh-CN"/>
        </w:rPr>
        <w:t xml:space="preserve">    </w:t>
      </w:r>
      <w:r>
        <w:rPr>
          <w:szCs w:val="21"/>
        </w:rPr>
        <w:t>邮政编码：</w:t>
      </w:r>
    </w:p>
    <w:p>
      <w:pPr>
        <w:keepNext w:val="0"/>
        <w:keepLines w:val="0"/>
        <w:pageBreakBefore w:val="0"/>
        <w:kinsoku/>
        <w:wordWrap/>
        <w:overflowPunct/>
        <w:topLinePunct w:val="0"/>
        <w:bidi w:val="0"/>
        <w:spacing w:line="440" w:lineRule="exact"/>
        <w:outlineLvl w:val="9"/>
        <w:rPr>
          <w:szCs w:val="21"/>
        </w:rPr>
      </w:pPr>
      <w:r>
        <w:rPr>
          <w:szCs w:val="21"/>
        </w:rPr>
        <w:t xml:space="preserve">电    话：                                      </w:t>
      </w:r>
      <w:r>
        <w:rPr>
          <w:rFonts w:hint="eastAsia"/>
          <w:szCs w:val="21"/>
          <w:lang w:val="en-US" w:eastAsia="zh-CN"/>
        </w:rPr>
        <w:t xml:space="preserve">        </w:t>
      </w:r>
      <w:r>
        <w:rPr>
          <w:szCs w:val="21"/>
        </w:rPr>
        <w:t>电    话：</w:t>
      </w:r>
    </w:p>
    <w:p>
      <w:pPr>
        <w:keepNext w:val="0"/>
        <w:keepLines w:val="0"/>
        <w:pageBreakBefore w:val="0"/>
        <w:kinsoku/>
        <w:wordWrap/>
        <w:overflowPunct/>
        <w:topLinePunct w:val="0"/>
        <w:bidi w:val="0"/>
        <w:spacing w:line="440" w:lineRule="exact"/>
        <w:outlineLvl w:val="9"/>
        <w:rPr>
          <w:szCs w:val="21"/>
        </w:rPr>
      </w:pPr>
      <w:r>
        <w:rPr>
          <w:szCs w:val="21"/>
        </w:rPr>
        <w:t xml:space="preserve">传    真：                                      </w:t>
      </w:r>
      <w:r>
        <w:rPr>
          <w:rFonts w:hint="eastAsia"/>
          <w:szCs w:val="21"/>
          <w:lang w:val="en-US" w:eastAsia="zh-CN"/>
        </w:rPr>
        <w:t xml:space="preserve">        </w:t>
      </w:r>
      <w:r>
        <w:rPr>
          <w:szCs w:val="21"/>
        </w:rPr>
        <w:t>传    真：</w:t>
      </w:r>
    </w:p>
    <w:p>
      <w:pPr>
        <w:keepNext w:val="0"/>
        <w:keepLines w:val="0"/>
        <w:pageBreakBefore w:val="0"/>
        <w:kinsoku/>
        <w:wordWrap/>
        <w:overflowPunct/>
        <w:topLinePunct w:val="0"/>
        <w:bidi w:val="0"/>
        <w:spacing w:line="440" w:lineRule="exact"/>
        <w:outlineLvl w:val="9"/>
        <w:rPr>
          <w:szCs w:val="21"/>
        </w:rPr>
      </w:pPr>
      <w:r>
        <w:rPr>
          <w:szCs w:val="21"/>
        </w:rPr>
        <w:t xml:space="preserve">开户银行：                                      </w:t>
      </w:r>
      <w:r>
        <w:rPr>
          <w:rFonts w:hint="eastAsia"/>
          <w:szCs w:val="21"/>
          <w:lang w:val="en-US" w:eastAsia="zh-CN"/>
        </w:rPr>
        <w:t xml:space="preserve">    </w:t>
      </w:r>
      <w:r>
        <w:rPr>
          <w:szCs w:val="21"/>
        </w:rPr>
        <w:t>开户银行：</w:t>
      </w:r>
    </w:p>
    <w:p>
      <w:pPr>
        <w:keepNext w:val="0"/>
        <w:keepLines w:val="0"/>
        <w:pageBreakBefore w:val="0"/>
        <w:kinsoku/>
        <w:wordWrap/>
        <w:overflowPunct/>
        <w:topLinePunct w:val="0"/>
        <w:bidi w:val="0"/>
        <w:spacing w:line="440" w:lineRule="exact"/>
        <w:outlineLvl w:val="9"/>
        <w:rPr>
          <w:szCs w:val="21"/>
        </w:rPr>
      </w:pPr>
      <w:r>
        <w:rPr>
          <w:szCs w:val="21"/>
        </w:rPr>
        <w:t xml:space="preserve">开户账号：                                      </w:t>
      </w:r>
      <w:r>
        <w:rPr>
          <w:rFonts w:hint="eastAsia"/>
          <w:szCs w:val="21"/>
          <w:lang w:val="en-US" w:eastAsia="zh-CN"/>
        </w:rPr>
        <w:t xml:space="preserve">    </w:t>
      </w:r>
      <w:r>
        <w:rPr>
          <w:szCs w:val="21"/>
        </w:rPr>
        <w:t>开户账号：</w:t>
      </w:r>
    </w:p>
    <w:p>
      <w:pPr>
        <w:keepNext w:val="0"/>
        <w:keepLines w:val="0"/>
        <w:pageBreakBefore w:val="0"/>
        <w:kinsoku/>
        <w:wordWrap/>
        <w:overflowPunct/>
        <w:topLinePunct w:val="0"/>
        <w:bidi w:val="0"/>
        <w:spacing w:line="440" w:lineRule="exact"/>
        <w:outlineLvl w:val="9"/>
        <w:rPr>
          <w:szCs w:val="21"/>
        </w:rPr>
      </w:pPr>
    </w:p>
    <w:p>
      <w:pPr>
        <w:keepNext w:val="0"/>
        <w:keepLines w:val="0"/>
        <w:pageBreakBefore w:val="0"/>
        <w:kinsoku/>
        <w:wordWrap/>
        <w:overflowPunct/>
        <w:topLinePunct w:val="0"/>
        <w:bidi w:val="0"/>
        <w:spacing w:line="440" w:lineRule="exact"/>
        <w:outlineLvl w:val="9"/>
        <w:rPr>
          <w:szCs w:val="21"/>
        </w:rPr>
      </w:pPr>
    </w:p>
    <w:p>
      <w:pPr>
        <w:keepNext w:val="0"/>
        <w:keepLines w:val="0"/>
        <w:pageBreakBefore w:val="0"/>
        <w:kinsoku/>
        <w:wordWrap/>
        <w:overflowPunct/>
        <w:topLinePunct w:val="0"/>
        <w:bidi w:val="0"/>
        <w:spacing w:line="440" w:lineRule="exact"/>
        <w:ind w:left="840" w:hanging="840"/>
        <w:outlineLvl w:val="9"/>
        <w:rPr>
          <w:b/>
          <w:spacing w:val="40"/>
        </w:rPr>
      </w:pPr>
      <w:r>
        <w:rPr>
          <w:b/>
          <w:spacing w:val="40"/>
          <w:sz w:val="36"/>
        </w:rPr>
        <w:t>合同附件</w:t>
      </w:r>
      <w:r>
        <w:rPr>
          <w:b/>
          <w:spacing w:val="40"/>
        </w:rPr>
        <w:t>（合同编号</w:t>
      </w:r>
      <w:r>
        <w:rPr>
          <w:b/>
          <w:spacing w:val="40"/>
        </w:rPr>
        <w:tab/>
      </w:r>
      <w:r>
        <w:rPr>
          <w:b/>
          <w:spacing w:val="40"/>
        </w:rPr>
        <w:t xml:space="preserve">  ）</w:t>
      </w:r>
    </w:p>
    <w:p>
      <w:pPr>
        <w:keepNext w:val="0"/>
        <w:keepLines w:val="0"/>
        <w:pageBreakBefore w:val="0"/>
        <w:kinsoku/>
        <w:wordWrap/>
        <w:overflowPunct/>
        <w:topLinePunct w:val="0"/>
        <w:bidi w:val="0"/>
        <w:spacing w:line="440" w:lineRule="exact"/>
        <w:ind w:left="840" w:hanging="840"/>
        <w:outlineLvl w:val="9"/>
        <w:rPr>
          <w:b/>
          <w:spacing w:val="40"/>
        </w:rPr>
      </w:pPr>
    </w:p>
    <w:p>
      <w:pPr>
        <w:keepNext w:val="0"/>
        <w:keepLines w:val="0"/>
        <w:pageBreakBefore w:val="0"/>
        <w:tabs>
          <w:tab w:val="left" w:pos="1680"/>
        </w:tabs>
        <w:kinsoku/>
        <w:wordWrap/>
        <w:overflowPunct/>
        <w:topLinePunct w:val="0"/>
        <w:bidi w:val="0"/>
        <w:spacing w:line="440" w:lineRule="exact"/>
        <w:outlineLvl w:val="9"/>
      </w:pPr>
      <w:r>
        <w:t>附件1  技术规格及供货范围………………………………………………………………………</w:t>
      </w:r>
    </w:p>
    <w:p>
      <w:pPr>
        <w:keepNext w:val="0"/>
        <w:keepLines w:val="0"/>
        <w:pageBreakBefore w:val="0"/>
        <w:kinsoku/>
        <w:wordWrap/>
        <w:overflowPunct/>
        <w:topLinePunct w:val="0"/>
        <w:bidi w:val="0"/>
        <w:spacing w:line="440" w:lineRule="exact"/>
        <w:ind w:left="945" w:hanging="945"/>
        <w:outlineLvl w:val="9"/>
      </w:pPr>
      <w:r>
        <w:t>附件2  价格明细清单 ………………………………………………………………………………</w:t>
      </w:r>
    </w:p>
    <w:p>
      <w:pPr>
        <w:keepNext w:val="0"/>
        <w:keepLines w:val="0"/>
        <w:pageBreakBefore w:val="0"/>
        <w:kinsoku/>
        <w:wordWrap/>
        <w:overflowPunct/>
        <w:topLinePunct w:val="0"/>
        <w:bidi w:val="0"/>
        <w:spacing w:line="440" w:lineRule="exact"/>
        <w:ind w:left="945" w:hanging="945"/>
        <w:outlineLvl w:val="9"/>
      </w:pPr>
      <w:r>
        <w:t>附件3  货物交货及项目进度要求 …………………………………………………………………</w:t>
      </w:r>
    </w:p>
    <w:p>
      <w:pPr>
        <w:keepNext w:val="0"/>
        <w:keepLines w:val="0"/>
        <w:pageBreakBefore w:val="0"/>
        <w:kinsoku/>
        <w:wordWrap/>
        <w:overflowPunct/>
        <w:topLinePunct w:val="0"/>
        <w:bidi w:val="0"/>
        <w:spacing w:line="440" w:lineRule="exact"/>
        <w:ind w:left="945" w:hanging="945"/>
        <w:outlineLvl w:val="9"/>
      </w:pPr>
      <w:r>
        <w:t>附件4  安装、调试、培训、售后服务计划………………………………………………………</w:t>
      </w:r>
    </w:p>
    <w:p>
      <w:pPr>
        <w:keepNext w:val="0"/>
        <w:keepLines w:val="0"/>
        <w:pageBreakBefore w:val="0"/>
        <w:kinsoku/>
        <w:wordWrap/>
        <w:overflowPunct/>
        <w:topLinePunct w:val="0"/>
        <w:bidi w:val="0"/>
        <w:spacing w:line="440" w:lineRule="exact"/>
        <w:ind w:left="945" w:hanging="945"/>
        <w:outlineLvl w:val="9"/>
      </w:pPr>
      <w:r>
        <w:t>附件5  验收标准……………………………………………………………………………………</w:t>
      </w:r>
    </w:p>
    <w:p>
      <w:pPr>
        <w:keepNext w:val="0"/>
        <w:keepLines w:val="0"/>
        <w:pageBreakBefore w:val="0"/>
        <w:kinsoku/>
        <w:wordWrap/>
        <w:overflowPunct/>
        <w:topLinePunct w:val="0"/>
        <w:bidi w:val="0"/>
        <w:spacing w:line="440" w:lineRule="exact"/>
        <w:ind w:left="945" w:hanging="945"/>
        <w:outlineLvl w:val="9"/>
      </w:pPr>
      <w:r>
        <w:t>附件6  技术文件……………………………………………………………………………………</w:t>
      </w:r>
    </w:p>
    <w:p>
      <w:pPr>
        <w:keepNext w:val="0"/>
        <w:keepLines w:val="0"/>
        <w:pageBreakBefore w:val="0"/>
        <w:kinsoku/>
        <w:wordWrap/>
        <w:overflowPunct/>
        <w:topLinePunct w:val="0"/>
        <w:bidi w:val="0"/>
        <w:spacing w:line="440" w:lineRule="exact"/>
        <w:ind w:left="945" w:hanging="945"/>
        <w:outlineLvl w:val="9"/>
      </w:pPr>
      <w:r>
        <w:t>附件7  招标文件……………………………………………………………………………………</w:t>
      </w:r>
    </w:p>
    <w:p>
      <w:pPr>
        <w:keepNext w:val="0"/>
        <w:keepLines w:val="0"/>
        <w:pageBreakBefore w:val="0"/>
        <w:kinsoku/>
        <w:wordWrap/>
        <w:overflowPunct/>
        <w:topLinePunct w:val="0"/>
        <w:bidi w:val="0"/>
        <w:spacing w:line="440" w:lineRule="exact"/>
        <w:ind w:left="945" w:hanging="945"/>
        <w:outlineLvl w:val="9"/>
      </w:pPr>
      <w:r>
        <w:t>附件8  投标文件……………………………………………………………………………………</w:t>
      </w:r>
    </w:p>
    <w:p>
      <w:pPr>
        <w:keepNext w:val="0"/>
        <w:keepLines w:val="0"/>
        <w:pageBreakBefore w:val="0"/>
        <w:kinsoku/>
        <w:wordWrap/>
        <w:overflowPunct/>
        <w:topLinePunct w:val="0"/>
        <w:bidi w:val="0"/>
        <w:spacing w:line="440" w:lineRule="exact"/>
        <w:ind w:left="945" w:hanging="945"/>
        <w:outlineLvl w:val="9"/>
      </w:pPr>
      <w:r>
        <w:t>附件9  中标通知书…………………………………………………………………………………</w:t>
      </w:r>
    </w:p>
    <w:p>
      <w:pPr>
        <w:keepNext w:val="0"/>
        <w:keepLines w:val="0"/>
        <w:pageBreakBefore w:val="0"/>
        <w:kinsoku/>
        <w:wordWrap/>
        <w:overflowPunct/>
        <w:topLinePunct w:val="0"/>
        <w:bidi w:val="0"/>
        <w:spacing w:line="440" w:lineRule="exact"/>
        <w:ind w:left="945" w:hanging="945"/>
        <w:outlineLvl w:val="9"/>
      </w:pPr>
      <w:r>
        <w:rPr>
          <w:b/>
        </w:rPr>
        <w:t>备注</w:t>
      </w:r>
      <w:r>
        <w:t>：1. 本合同所有附件均在签定合同时编制，其编制依据是招标文件中的要求和卖方的投标文件中的相应内容；</w:t>
      </w:r>
    </w:p>
    <w:p>
      <w:pPr>
        <w:keepNext w:val="0"/>
        <w:keepLines w:val="0"/>
        <w:pageBreakBefore w:val="0"/>
        <w:kinsoku/>
        <w:wordWrap/>
        <w:overflowPunct/>
        <w:topLinePunct w:val="0"/>
        <w:bidi w:val="0"/>
        <w:spacing w:line="440" w:lineRule="exact"/>
        <w:ind w:left="945" w:leftChars="200" w:hanging="525" w:hangingChars="250"/>
        <w:outlineLvl w:val="9"/>
      </w:pPr>
      <w:r>
        <w:t xml:space="preserve">     2. 合同附件的具体内容由双方在签定合同时确定。</w:t>
      </w:r>
    </w:p>
    <w:p>
      <w:pPr>
        <w:spacing w:line="360" w:lineRule="auto"/>
        <w:jc w:val="center"/>
        <w:rPr>
          <w:rFonts w:eastAsia="黑体"/>
          <w:b/>
          <w:sz w:val="44"/>
        </w:rPr>
      </w:pPr>
    </w:p>
    <w:p>
      <w:pPr>
        <w:rPr>
          <w:b/>
          <w:szCs w:val="21"/>
        </w:rPr>
      </w:pPr>
    </w:p>
    <w:p>
      <w:pPr>
        <w:rPr>
          <w:b/>
          <w:szCs w:val="21"/>
        </w:rPr>
      </w:pPr>
    </w:p>
    <w:p>
      <w:pPr>
        <w:pStyle w:val="25"/>
        <w:tabs>
          <w:tab w:val="left" w:pos="1260"/>
        </w:tabs>
        <w:jc w:val="center"/>
        <w:rPr>
          <w:rFonts w:hint="eastAsia" w:hAnsi="宋体" w:cs="宋体"/>
          <w:b/>
          <w:spacing w:val="100"/>
          <w:w w:val="110"/>
          <w:kern w:val="0"/>
          <w:sz w:val="48"/>
          <w:szCs w:val="48"/>
        </w:rPr>
      </w:pPr>
    </w:p>
    <w:p>
      <w:pPr>
        <w:pStyle w:val="25"/>
        <w:jc w:val="center"/>
        <w:rPr>
          <w:rFonts w:hint="eastAsia" w:hAnsi="宋体" w:cs="宋体"/>
          <w:b/>
          <w:sz w:val="48"/>
          <w:szCs w:val="48"/>
        </w:rPr>
      </w:pPr>
    </w:p>
    <w:p>
      <w:pPr>
        <w:pStyle w:val="25"/>
        <w:tabs>
          <w:tab w:val="left" w:pos="1260"/>
        </w:tabs>
        <w:jc w:val="center"/>
        <w:rPr>
          <w:rFonts w:hint="eastAsia" w:hAnsi="宋体" w:cs="宋体"/>
          <w:b/>
          <w:spacing w:val="100"/>
          <w:w w:val="110"/>
          <w:sz w:val="48"/>
          <w:szCs w:val="48"/>
        </w:rPr>
      </w:pPr>
      <w:r>
        <w:rPr>
          <w:rFonts w:hint="eastAsia" w:hAnsi="宋体" w:cs="宋体"/>
          <w:b/>
          <w:spacing w:val="100"/>
          <w:w w:val="110"/>
          <w:kern w:val="0"/>
          <w:sz w:val="48"/>
          <w:szCs w:val="48"/>
        </w:rPr>
        <w:t>投标文件（格式）</w:t>
      </w:r>
    </w:p>
    <w:p>
      <w:pPr>
        <w:pStyle w:val="25"/>
        <w:jc w:val="center"/>
        <w:rPr>
          <w:rFonts w:hint="eastAsia" w:hAnsi="宋体" w:cs="宋体"/>
          <w:b/>
          <w:sz w:val="48"/>
          <w:szCs w:val="48"/>
        </w:rPr>
      </w:pPr>
      <w:r>
        <w:rPr>
          <w:rFonts w:hint="eastAsia" w:hAnsi="宋体" w:cs="宋体"/>
          <w:b/>
          <w:sz w:val="48"/>
          <w:szCs w:val="48"/>
        </w:rPr>
        <w:t>（正本/副本）</w:t>
      </w:r>
    </w:p>
    <w:p>
      <w:pPr>
        <w:pStyle w:val="25"/>
        <w:jc w:val="center"/>
        <w:rPr>
          <w:rFonts w:hint="eastAsia" w:hAnsi="宋体" w:cs="宋体"/>
          <w:b/>
          <w:sz w:val="48"/>
          <w:szCs w:val="4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jc w:val="center"/>
        <w:rPr>
          <w:rFonts w:hint="eastAsia" w:hAnsi="宋体" w:cs="宋体"/>
          <w:b/>
          <w:sz w:val="28"/>
          <w:szCs w:val="28"/>
        </w:rPr>
      </w:pPr>
    </w:p>
    <w:p>
      <w:pPr>
        <w:pStyle w:val="25"/>
        <w:spacing w:line="360" w:lineRule="auto"/>
        <w:rPr>
          <w:rFonts w:hint="eastAsia" w:hAnsi="宋体" w:cs="宋体"/>
          <w:b/>
          <w:sz w:val="28"/>
          <w:szCs w:val="28"/>
          <w:u w:val="single"/>
        </w:rPr>
      </w:pPr>
      <w:r>
        <w:rPr>
          <w:rFonts w:hint="eastAsia" w:hAnsi="宋体" w:cs="宋体"/>
          <w:b/>
          <w:sz w:val="28"/>
          <w:szCs w:val="28"/>
        </w:rPr>
        <w:t xml:space="preserve">          采购项目编号：</w:t>
      </w:r>
      <w:r>
        <w:rPr>
          <w:rFonts w:hint="eastAsia" w:hAnsi="宋体" w:cs="宋体"/>
          <w:b/>
          <w:sz w:val="28"/>
          <w:szCs w:val="28"/>
          <w:u w:val="single"/>
          <w:lang w:eastAsia="zh-CN"/>
        </w:rPr>
        <w:t>HLSJZSCG-20181229</w:t>
      </w:r>
      <w:r>
        <w:rPr>
          <w:rFonts w:hint="eastAsia" w:hAnsi="宋体" w:cs="宋体"/>
          <w:b/>
          <w:sz w:val="28"/>
          <w:szCs w:val="28"/>
          <w:u w:val="single"/>
        </w:rPr>
        <w:t xml:space="preserve">         </w:t>
      </w:r>
    </w:p>
    <w:p>
      <w:pPr>
        <w:pStyle w:val="25"/>
        <w:spacing w:line="360" w:lineRule="auto"/>
        <w:ind w:left="3373" w:hanging="3373" w:hangingChars="1200"/>
        <w:jc w:val="left"/>
        <w:rPr>
          <w:rFonts w:hint="eastAsia" w:hAnsi="宋体" w:cs="宋体"/>
          <w:b/>
          <w:kern w:val="28"/>
          <w:sz w:val="28"/>
          <w:szCs w:val="28"/>
        </w:rPr>
      </w:pPr>
      <w:r>
        <w:rPr>
          <w:rFonts w:hint="eastAsia" w:hAnsi="宋体" w:cs="宋体"/>
          <w:b/>
          <w:sz w:val="28"/>
          <w:szCs w:val="28"/>
        </w:rPr>
        <w:t xml:space="preserve">          采购项目名称：</w:t>
      </w:r>
      <w:r>
        <w:rPr>
          <w:rFonts w:hint="eastAsia"/>
          <w:b/>
          <w:bCs/>
          <w:kern w:val="28"/>
          <w:sz w:val="28"/>
          <w:szCs w:val="28"/>
          <w:u w:val="single"/>
          <w:lang w:eastAsia="zh-CN"/>
        </w:rPr>
        <w:t>坦洲镇污水处理厂消毒剂采购项目</w:t>
      </w:r>
      <w:r>
        <w:rPr>
          <w:rFonts w:hint="eastAsia" w:hAnsi="宋体" w:cs="宋体"/>
          <w:b/>
          <w:kern w:val="28"/>
          <w:sz w:val="28"/>
          <w:szCs w:val="28"/>
        </w:rPr>
        <w:t xml:space="preserve">          </w:t>
      </w:r>
    </w:p>
    <w:p>
      <w:pPr>
        <w:pStyle w:val="25"/>
        <w:spacing w:line="360" w:lineRule="auto"/>
        <w:jc w:val="center"/>
        <w:rPr>
          <w:rFonts w:hint="eastAsia" w:hAnsi="宋体" w:cs="宋体"/>
          <w:b/>
          <w:sz w:val="28"/>
          <w:szCs w:val="28"/>
        </w:rPr>
      </w:pPr>
    </w:p>
    <w:p>
      <w:pPr>
        <w:pStyle w:val="25"/>
        <w:spacing w:line="360" w:lineRule="auto"/>
        <w:jc w:val="center"/>
        <w:rPr>
          <w:rFonts w:hint="eastAsia" w:hAnsi="宋体" w:cs="宋体"/>
          <w:b/>
          <w:sz w:val="28"/>
          <w:szCs w:val="28"/>
        </w:rPr>
      </w:pPr>
    </w:p>
    <w:p>
      <w:pPr>
        <w:pStyle w:val="25"/>
        <w:spacing w:line="360" w:lineRule="auto"/>
        <w:jc w:val="center"/>
        <w:rPr>
          <w:rFonts w:hint="eastAsia" w:hAnsi="宋体" w:cs="宋体"/>
          <w:b/>
          <w:sz w:val="28"/>
          <w:szCs w:val="28"/>
        </w:rPr>
      </w:pPr>
    </w:p>
    <w:p>
      <w:pPr>
        <w:pStyle w:val="25"/>
        <w:ind w:firstLine="843" w:firstLineChars="300"/>
        <w:rPr>
          <w:rFonts w:hint="eastAsia" w:hAnsi="宋体" w:cs="宋体"/>
          <w:b/>
          <w:sz w:val="28"/>
          <w:szCs w:val="28"/>
        </w:rPr>
      </w:pPr>
    </w:p>
    <w:p>
      <w:pPr>
        <w:pStyle w:val="25"/>
        <w:spacing w:line="360" w:lineRule="auto"/>
        <w:rPr>
          <w:rFonts w:hint="eastAsia" w:hAnsi="宋体" w:cs="宋体"/>
          <w:b/>
          <w:sz w:val="28"/>
          <w:szCs w:val="28"/>
          <w:u w:val="single"/>
        </w:rPr>
      </w:pPr>
      <w:r>
        <w:rPr>
          <w:rFonts w:hint="eastAsia" w:hAnsi="宋体" w:cs="宋体"/>
          <w:b/>
          <w:sz w:val="28"/>
          <w:szCs w:val="28"/>
        </w:rPr>
        <w:t xml:space="preserve">              投标人名称：</w:t>
      </w:r>
      <w:r>
        <w:rPr>
          <w:rFonts w:hint="eastAsia" w:hAnsi="宋体" w:cs="宋体"/>
          <w:b/>
          <w:sz w:val="28"/>
          <w:szCs w:val="28"/>
          <w:u w:val="single"/>
        </w:rPr>
        <w:t xml:space="preserve">                </w:t>
      </w:r>
    </w:p>
    <w:p>
      <w:pPr>
        <w:autoSpaceDE w:val="0"/>
        <w:autoSpaceDN w:val="0"/>
        <w:spacing w:line="240" w:lineRule="atLeast"/>
        <w:rPr>
          <w:rFonts w:hint="eastAsia" w:ascii="宋体" w:hAnsi="宋体" w:cs="宋体"/>
          <w:b/>
          <w:sz w:val="28"/>
          <w:szCs w:val="28"/>
          <w:u w:val="single"/>
        </w:rPr>
      </w:pPr>
      <w:r>
        <w:rPr>
          <w:rFonts w:hint="eastAsia" w:ascii="宋体" w:hAnsi="宋体" w:cs="宋体"/>
          <w:b/>
          <w:sz w:val="28"/>
          <w:szCs w:val="28"/>
        </w:rPr>
        <w:t xml:space="preserve">              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autoSpaceDE w:val="0"/>
        <w:autoSpaceDN w:val="0"/>
        <w:adjustRightInd w:val="0"/>
        <w:jc w:val="center"/>
        <w:rPr>
          <w:rFonts w:hint="eastAsia" w:ascii="宋体" w:hAnsi="宋体" w:cs="宋体"/>
        </w:rPr>
      </w:pPr>
    </w:p>
    <w:p>
      <w:pPr>
        <w:autoSpaceDE w:val="0"/>
        <w:autoSpaceDN w:val="0"/>
        <w:adjustRightInd w:val="0"/>
        <w:jc w:val="center"/>
        <w:rPr>
          <w:rFonts w:hint="eastAsia" w:ascii="宋体" w:hAnsi="宋体" w:cs="宋体"/>
        </w:rPr>
      </w:pPr>
    </w:p>
    <w:p>
      <w:pPr>
        <w:autoSpaceDE w:val="0"/>
        <w:autoSpaceDN w:val="0"/>
        <w:adjustRightInd w:val="0"/>
        <w:rPr>
          <w:rFonts w:hint="eastAsia" w:ascii="宋体" w:hAnsi="宋体" w:cs="宋体"/>
          <w:b/>
          <w:sz w:val="36"/>
          <w:szCs w:val="36"/>
        </w:rPr>
      </w:pPr>
    </w:p>
    <w:p>
      <w:pPr>
        <w:autoSpaceDE w:val="0"/>
        <w:autoSpaceDN w:val="0"/>
        <w:adjustRightInd w:val="0"/>
        <w:jc w:val="center"/>
        <w:rPr>
          <w:rFonts w:hint="eastAsia" w:ascii="宋体" w:hAnsi="宋体" w:cs="宋体"/>
          <w:b/>
          <w:sz w:val="36"/>
          <w:szCs w:val="36"/>
        </w:rPr>
      </w:pPr>
    </w:p>
    <w:p>
      <w:pPr>
        <w:autoSpaceDE w:val="0"/>
        <w:autoSpaceDN w:val="0"/>
        <w:adjustRightInd w:val="0"/>
        <w:rPr>
          <w:rFonts w:hint="eastAsia" w:ascii="宋体" w:hAnsi="宋体" w:cs="宋体"/>
          <w:b/>
          <w:sz w:val="36"/>
          <w:szCs w:val="36"/>
        </w:rPr>
      </w:pPr>
    </w:p>
    <w:p>
      <w:pPr>
        <w:autoSpaceDE w:val="0"/>
        <w:autoSpaceDN w:val="0"/>
        <w:adjustRightInd w:val="0"/>
        <w:rPr>
          <w:rFonts w:hint="eastAsia" w:ascii="宋体" w:hAnsi="宋体" w:cs="宋体"/>
          <w:b/>
          <w:sz w:val="36"/>
          <w:szCs w:val="36"/>
        </w:rPr>
      </w:pPr>
    </w:p>
    <w:p>
      <w:pPr>
        <w:pStyle w:val="20"/>
        <w:spacing w:before="120" w:line="360" w:lineRule="exact"/>
        <w:jc w:val="center"/>
        <w:rPr>
          <w:rFonts w:hint="eastAsia" w:ascii="宋体" w:hAnsi="宋体" w:cs="宋体"/>
          <w:b/>
          <w:sz w:val="32"/>
          <w:szCs w:val="32"/>
        </w:rPr>
      </w:pPr>
      <w:r>
        <w:rPr>
          <w:rFonts w:hint="eastAsia" w:ascii="宋体" w:hAnsi="宋体" w:cs="宋体"/>
          <w:b/>
          <w:sz w:val="32"/>
          <w:szCs w:val="32"/>
        </w:rPr>
        <w:t>目    录</w:t>
      </w:r>
    </w:p>
    <w:p>
      <w:pPr>
        <w:widowControl/>
        <w:numPr>
          <w:ilvl w:val="1"/>
          <w:numId w:val="18"/>
        </w:numPr>
        <w:tabs>
          <w:tab w:val="left" w:pos="851"/>
          <w:tab w:val="left" w:pos="926"/>
        </w:tabs>
        <w:snapToGrid w:val="0"/>
        <w:spacing w:line="400" w:lineRule="exact"/>
        <w:ind w:hanging="1140"/>
        <w:rPr>
          <w:rFonts w:hint="eastAsia" w:ascii="宋体" w:hAnsi="宋体" w:cs="宋体"/>
          <w:b/>
          <w:bCs/>
          <w:szCs w:val="21"/>
        </w:rPr>
      </w:pPr>
      <w:r>
        <w:rPr>
          <w:rFonts w:hint="eastAsia" w:ascii="宋体" w:hAnsi="宋体" w:cs="宋体"/>
          <w:b/>
          <w:bCs/>
          <w:szCs w:val="21"/>
        </w:rPr>
        <w:t>报价文件格式</w:t>
      </w:r>
    </w:p>
    <w:p>
      <w:pPr>
        <w:widowControl/>
        <w:tabs>
          <w:tab w:val="left" w:pos="1272"/>
        </w:tabs>
        <w:adjustRightInd w:val="0"/>
        <w:spacing w:line="400" w:lineRule="exact"/>
        <w:ind w:firstLine="945" w:firstLineChars="450"/>
        <w:jc w:val="left"/>
        <w:rPr>
          <w:rFonts w:hint="eastAsia" w:ascii="宋体" w:hAnsi="宋体" w:cs="宋体"/>
          <w:szCs w:val="21"/>
        </w:rPr>
      </w:pPr>
      <w:r>
        <w:rPr>
          <w:rFonts w:hint="eastAsia" w:ascii="宋体" w:hAnsi="宋体" w:cs="宋体"/>
          <w:szCs w:val="21"/>
        </w:rPr>
        <w:t>1、开标一览表</w:t>
      </w:r>
    </w:p>
    <w:p>
      <w:pPr>
        <w:widowControl/>
        <w:tabs>
          <w:tab w:val="left" w:pos="1272"/>
        </w:tabs>
        <w:adjustRightInd w:val="0"/>
        <w:spacing w:line="400" w:lineRule="exact"/>
        <w:ind w:firstLine="945" w:firstLineChars="450"/>
        <w:jc w:val="left"/>
        <w:rPr>
          <w:rFonts w:hint="eastAsia" w:ascii="宋体" w:hAnsi="宋体" w:cs="宋体"/>
          <w:szCs w:val="21"/>
        </w:rPr>
      </w:pPr>
      <w:r>
        <w:rPr>
          <w:rFonts w:hint="eastAsia" w:ascii="宋体" w:hAnsi="宋体" w:cs="宋体"/>
          <w:szCs w:val="21"/>
        </w:rPr>
        <w:t>2、详细报价清单</w:t>
      </w:r>
    </w:p>
    <w:p>
      <w:pPr>
        <w:widowControl/>
        <w:numPr>
          <w:ilvl w:val="1"/>
          <w:numId w:val="18"/>
        </w:numPr>
        <w:tabs>
          <w:tab w:val="left" w:pos="851"/>
          <w:tab w:val="left" w:pos="926"/>
        </w:tabs>
        <w:snapToGrid w:val="0"/>
        <w:spacing w:line="400" w:lineRule="exact"/>
        <w:ind w:left="851" w:hanging="851"/>
        <w:rPr>
          <w:rFonts w:hint="eastAsia" w:ascii="宋体" w:hAnsi="宋体" w:cs="宋体"/>
          <w:b/>
          <w:bCs/>
          <w:szCs w:val="21"/>
        </w:rPr>
      </w:pPr>
      <w:r>
        <w:rPr>
          <w:rFonts w:hint="eastAsia" w:ascii="宋体" w:hAnsi="宋体" w:cs="宋体"/>
          <w:b/>
          <w:szCs w:val="21"/>
        </w:rPr>
        <w:t>商务文件格式：</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投标函</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法定代表人证明书/法定代表人授权书</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商务条款偏离表</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重要指标响应表</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投标人基本情况表</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售后服务机构情况表</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lang w:eastAsia="zh-CN"/>
        </w:rPr>
        <w:t>近</w:t>
      </w:r>
      <w:r>
        <w:rPr>
          <w:rFonts w:hint="eastAsia" w:ascii="宋体" w:hAnsi="宋体" w:cs="宋体"/>
          <w:szCs w:val="21"/>
          <w:lang w:val="en-US" w:eastAsia="zh-CN"/>
        </w:rPr>
        <w:t>2年</w:t>
      </w:r>
      <w:r>
        <w:rPr>
          <w:rFonts w:hint="eastAsia" w:ascii="宋体" w:hAnsi="宋体" w:cs="宋体"/>
          <w:szCs w:val="21"/>
        </w:rPr>
        <w:t>承接的同类项目</w:t>
      </w:r>
      <w:r>
        <w:rPr>
          <w:rFonts w:hint="eastAsia" w:ascii="宋体" w:hAnsi="宋体" w:cs="宋体"/>
          <w:szCs w:val="21"/>
          <w:lang w:eastAsia="zh-CN"/>
        </w:rPr>
        <w:t>业绩</w:t>
      </w:r>
      <w:r>
        <w:rPr>
          <w:rFonts w:hint="eastAsia" w:ascii="宋体" w:hAnsi="宋体" w:cs="宋体"/>
          <w:szCs w:val="21"/>
        </w:rPr>
        <w:t>一览表</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投标保证金退还说明格式</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中标服务费承诺书</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rPr>
        <w:t>投标保证金汇款凭证复印件</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资格声明函</w:t>
      </w:r>
    </w:p>
    <w:p>
      <w:pPr>
        <w:widowControl/>
        <w:numPr>
          <w:ilvl w:val="0"/>
          <w:numId w:val="19"/>
        </w:numPr>
        <w:tabs>
          <w:tab w:val="left" w:pos="1272"/>
        </w:tabs>
        <w:adjustRightInd w:val="0"/>
        <w:spacing w:line="400" w:lineRule="exact"/>
        <w:jc w:val="left"/>
        <w:rPr>
          <w:rFonts w:hint="eastAsia" w:ascii="宋体" w:hAnsi="宋体" w:cs="宋体"/>
          <w:szCs w:val="21"/>
        </w:rPr>
      </w:pPr>
      <w:r>
        <w:rPr>
          <w:rFonts w:hint="eastAsia" w:ascii="宋体" w:hAnsi="宋体" w:cs="宋体"/>
          <w:szCs w:val="21"/>
        </w:rPr>
        <w:t>其他资格证明材料</w:t>
      </w:r>
    </w:p>
    <w:p>
      <w:pPr>
        <w:widowControl/>
        <w:numPr>
          <w:ilvl w:val="1"/>
          <w:numId w:val="18"/>
        </w:numPr>
        <w:tabs>
          <w:tab w:val="left" w:pos="851"/>
          <w:tab w:val="left" w:pos="926"/>
        </w:tabs>
        <w:snapToGrid w:val="0"/>
        <w:spacing w:line="400" w:lineRule="exact"/>
        <w:ind w:left="851" w:hanging="851"/>
        <w:rPr>
          <w:rFonts w:hint="eastAsia" w:ascii="宋体" w:hAnsi="宋体" w:cs="宋体"/>
          <w:b/>
          <w:szCs w:val="21"/>
        </w:rPr>
      </w:pPr>
      <w:r>
        <w:rPr>
          <w:rFonts w:hint="eastAsia" w:ascii="宋体" w:hAnsi="宋体" w:cs="宋体"/>
          <w:b/>
          <w:szCs w:val="21"/>
        </w:rPr>
        <w:t>技术文件格式</w:t>
      </w:r>
    </w:p>
    <w:p>
      <w:pPr>
        <w:pStyle w:val="7"/>
        <w:widowControl/>
        <w:numPr>
          <w:ilvl w:val="0"/>
          <w:numId w:val="20"/>
        </w:numPr>
        <w:tabs>
          <w:tab w:val="left" w:pos="1260"/>
        </w:tabs>
        <w:adjustRightInd w:val="0"/>
        <w:spacing w:line="400" w:lineRule="exact"/>
        <w:jc w:val="left"/>
        <w:rPr>
          <w:rFonts w:hint="eastAsia" w:ascii="宋体" w:hAnsi="宋体" w:cs="宋体"/>
          <w:szCs w:val="21"/>
        </w:rPr>
      </w:pPr>
      <w:r>
        <w:rPr>
          <w:rFonts w:hint="eastAsia" w:ascii="宋体" w:hAnsi="宋体" w:cs="宋体"/>
        </w:rPr>
        <w:t>技术规格偏离表</w:t>
      </w:r>
    </w:p>
    <w:p>
      <w:pPr>
        <w:pStyle w:val="7"/>
        <w:widowControl/>
        <w:numPr>
          <w:ilvl w:val="0"/>
          <w:numId w:val="20"/>
        </w:numPr>
        <w:tabs>
          <w:tab w:val="left" w:pos="1260"/>
        </w:tabs>
        <w:adjustRightInd w:val="0"/>
        <w:spacing w:line="400" w:lineRule="exact"/>
        <w:jc w:val="left"/>
        <w:rPr>
          <w:rFonts w:hint="eastAsia" w:ascii="宋体" w:hAnsi="宋体" w:cs="宋体"/>
          <w:szCs w:val="21"/>
        </w:rPr>
      </w:pPr>
      <w:r>
        <w:rPr>
          <w:rFonts w:hint="eastAsia" w:ascii="宋体" w:hAnsi="宋体" w:cs="宋体"/>
          <w:szCs w:val="21"/>
          <w:lang w:eastAsia="zh-CN"/>
        </w:rPr>
        <w:t>技术方案</w:t>
      </w:r>
    </w:p>
    <w:p>
      <w:pPr>
        <w:pStyle w:val="7"/>
        <w:widowControl/>
        <w:numPr>
          <w:ilvl w:val="0"/>
          <w:numId w:val="20"/>
        </w:numPr>
        <w:tabs>
          <w:tab w:val="left" w:pos="1260"/>
        </w:tabs>
        <w:adjustRightInd w:val="0"/>
        <w:spacing w:line="400" w:lineRule="exact"/>
        <w:jc w:val="left"/>
        <w:rPr>
          <w:rFonts w:hint="eastAsia" w:ascii="宋体" w:hAnsi="宋体" w:cs="宋体"/>
          <w:szCs w:val="21"/>
        </w:rPr>
      </w:pPr>
      <w:r>
        <w:rPr>
          <w:rFonts w:hint="eastAsia" w:ascii="宋体" w:hAnsi="宋体" w:cs="宋体"/>
          <w:szCs w:val="21"/>
        </w:rPr>
        <w:t>投标人认为必要的其他技术资料</w:t>
      </w:r>
    </w:p>
    <w:p>
      <w:pPr>
        <w:widowControl/>
        <w:numPr>
          <w:ilvl w:val="1"/>
          <w:numId w:val="38"/>
        </w:numPr>
        <w:snapToGrid w:val="0"/>
        <w:spacing w:line="360" w:lineRule="auto"/>
        <w:rPr>
          <w:rFonts w:hint="eastAsia" w:ascii="宋体" w:hAnsi="宋体" w:cs="宋体"/>
        </w:rPr>
        <w:sectPr>
          <w:headerReference r:id="rId6" w:type="default"/>
          <w:pgSz w:w="11907" w:h="16840"/>
          <w:pgMar w:top="1094" w:right="1247" w:bottom="1304" w:left="1247" w:header="851" w:footer="992" w:gutter="0"/>
          <w:cols w:space="720" w:num="1"/>
          <w:docGrid w:linePitch="312" w:charSpace="0"/>
        </w:sectPr>
      </w:pPr>
    </w:p>
    <w:p>
      <w:pPr>
        <w:rPr>
          <w:rFonts w:hint="eastAsia" w:ascii="宋体" w:hAnsi="宋体" w:cs="宋体"/>
        </w:rPr>
      </w:pPr>
      <w:bookmarkStart w:id="31" w:name="_Toc253064701"/>
      <w:bookmarkStart w:id="32" w:name="_Toc253064699"/>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rPr>
          <w:rFonts w:hint="eastAsia" w:ascii="宋体" w:hAnsi="宋体" w:cs="宋体"/>
          <w:sz w:val="52"/>
          <w:szCs w:val="52"/>
        </w:rPr>
      </w:pPr>
      <w:bookmarkStart w:id="33" w:name="_Toc401826040"/>
      <w:bookmarkStart w:id="34" w:name="_Toc421205751"/>
      <w:bookmarkStart w:id="35" w:name="_Toc321060677"/>
      <w:bookmarkStart w:id="36" w:name="_Toc401826128"/>
      <w:bookmarkStart w:id="37" w:name="_Toc270327213"/>
      <w:bookmarkStart w:id="38" w:name="_Toc321060597"/>
      <w:bookmarkStart w:id="39" w:name="_Toc401763166"/>
      <w:r>
        <w:rPr>
          <w:rFonts w:hint="eastAsia" w:ascii="宋体" w:hAnsi="宋体" w:cs="宋体"/>
          <w:b/>
          <w:bCs/>
          <w:sz w:val="36"/>
          <w:szCs w:val="36"/>
        </w:rPr>
        <w:t xml:space="preserve">第一部分 </w:t>
      </w:r>
      <w:r>
        <w:rPr>
          <w:rFonts w:hint="eastAsia" w:ascii="宋体" w:hAnsi="宋体" w:cs="宋体"/>
          <w:b/>
          <w:bCs/>
          <w:sz w:val="36"/>
          <w:szCs w:val="36"/>
          <w:lang w:eastAsia="zh-CN"/>
        </w:rPr>
        <w:t>报价</w:t>
      </w:r>
      <w:r>
        <w:rPr>
          <w:rFonts w:hint="eastAsia" w:ascii="宋体" w:hAnsi="宋体" w:cs="宋体"/>
          <w:b/>
          <w:bCs/>
          <w:sz w:val="36"/>
          <w:szCs w:val="36"/>
        </w:rPr>
        <w:t>文件格式</w:t>
      </w:r>
      <w:bookmarkEnd w:id="33"/>
      <w:bookmarkEnd w:id="34"/>
      <w:bookmarkEnd w:id="35"/>
      <w:bookmarkEnd w:id="36"/>
      <w:bookmarkEnd w:id="37"/>
      <w:bookmarkEnd w:id="38"/>
      <w:bookmarkEnd w:id="39"/>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bookmarkEnd w:id="31"/>
    <w:bookmarkEnd w:id="32"/>
    <w:p>
      <w:pPr>
        <w:rPr>
          <w:rFonts w:hint="eastAsia"/>
        </w:rPr>
      </w:pPr>
      <w:bookmarkStart w:id="40" w:name="_Toc420684755"/>
      <w:bookmarkStart w:id="41" w:name="_Toc421205752"/>
      <w:bookmarkStart w:id="42" w:name="_Toc421004189"/>
    </w:p>
    <w:p>
      <w:pPr>
        <w:rPr>
          <w:rFonts w:hint="eastAsia" w:ascii="宋体" w:hAnsi="宋体" w:cs="宋体"/>
          <w:sz w:val="28"/>
          <w:szCs w:val="28"/>
        </w:rPr>
      </w:pPr>
      <w:r>
        <w:rPr>
          <w:rFonts w:hint="eastAsia" w:ascii="宋体" w:hAnsi="宋体" w:cs="宋体"/>
          <w:sz w:val="28"/>
          <w:szCs w:val="28"/>
        </w:rPr>
        <w:t>表5-1  开标一览表</w:t>
      </w:r>
      <w:bookmarkEnd w:id="40"/>
      <w:bookmarkEnd w:id="41"/>
      <w:bookmarkEnd w:id="42"/>
    </w:p>
    <w:p>
      <w:pPr>
        <w:spacing w:line="360" w:lineRule="auto"/>
        <w:ind w:firstLine="210" w:firstLineChars="100"/>
        <w:rPr>
          <w:rFonts w:hint="eastAsia" w:ascii="宋体" w:hAnsi="宋体" w:cs="宋体"/>
          <w:szCs w:val="21"/>
        </w:rPr>
      </w:pPr>
    </w:p>
    <w:p>
      <w:pPr>
        <w:spacing w:line="360" w:lineRule="auto"/>
        <w:ind w:firstLine="210" w:firstLineChars="100"/>
        <w:rPr>
          <w:rFonts w:hint="eastAsia"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tbl>
      <w:tblPr>
        <w:tblStyle w:val="55"/>
        <w:tblW w:w="943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0"/>
        <w:gridCol w:w="3119"/>
        <w:gridCol w:w="3827"/>
        <w:gridCol w:w="15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 w:hRule="atLeast"/>
          <w:jc w:val="center"/>
        </w:trPr>
        <w:tc>
          <w:tcPr>
            <w:tcW w:w="890" w:type="dxa"/>
            <w:shd w:val="clear" w:color="auto" w:fill="D9D9D9"/>
            <w:vAlign w:val="center"/>
          </w:tcPr>
          <w:p>
            <w:pPr>
              <w:adjustRightInd w:val="0"/>
              <w:snapToGrid w:val="0"/>
              <w:jc w:val="center"/>
              <w:rPr>
                <w:rFonts w:hint="eastAsia" w:ascii="宋体" w:hAnsi="宋体" w:cs="宋体"/>
                <w:szCs w:val="21"/>
              </w:rPr>
            </w:pPr>
            <w:r>
              <w:rPr>
                <w:rFonts w:hint="eastAsia" w:ascii="宋体" w:hAnsi="宋体" w:cs="宋体"/>
                <w:szCs w:val="21"/>
              </w:rPr>
              <w:t>序号</w:t>
            </w:r>
          </w:p>
        </w:tc>
        <w:tc>
          <w:tcPr>
            <w:tcW w:w="3119" w:type="dxa"/>
            <w:shd w:val="clear" w:color="auto" w:fill="D9D9D9"/>
            <w:vAlign w:val="center"/>
          </w:tcPr>
          <w:p>
            <w:pPr>
              <w:pStyle w:val="74"/>
              <w:keepNext w:val="0"/>
              <w:snapToGrid w:val="0"/>
              <w:spacing w:before="0" w:after="0" w:line="240" w:lineRule="auto"/>
              <w:textAlignment w:val="auto"/>
              <w:rPr>
                <w:rFonts w:hint="eastAsia" w:ascii="宋体" w:hAnsi="宋体" w:cs="宋体"/>
                <w:snapToGrid/>
                <w:spacing w:val="0"/>
                <w:kern w:val="2"/>
                <w:sz w:val="21"/>
                <w:szCs w:val="21"/>
              </w:rPr>
            </w:pPr>
            <w:r>
              <w:rPr>
                <w:rFonts w:hint="eastAsia" w:ascii="宋体" w:hAnsi="宋体" w:cs="宋体"/>
                <w:snapToGrid/>
                <w:spacing w:val="0"/>
                <w:kern w:val="2"/>
                <w:sz w:val="21"/>
                <w:szCs w:val="21"/>
              </w:rPr>
              <w:t>名称</w:t>
            </w:r>
          </w:p>
        </w:tc>
        <w:tc>
          <w:tcPr>
            <w:tcW w:w="3827" w:type="dxa"/>
            <w:shd w:val="clear" w:color="auto" w:fill="D9D9D9"/>
            <w:vAlign w:val="center"/>
          </w:tcPr>
          <w:p>
            <w:pPr>
              <w:adjustRightInd w:val="0"/>
              <w:snapToGrid w:val="0"/>
              <w:jc w:val="center"/>
              <w:rPr>
                <w:rFonts w:hint="eastAsia" w:ascii="宋体" w:hAnsi="宋体" w:cs="宋体"/>
                <w:szCs w:val="21"/>
              </w:rPr>
            </w:pPr>
            <w:r>
              <w:rPr>
                <w:rFonts w:hint="eastAsia" w:ascii="宋体" w:hAnsi="宋体" w:cs="宋体"/>
                <w:szCs w:val="21"/>
              </w:rPr>
              <w:t>投标总价（元）</w:t>
            </w:r>
          </w:p>
        </w:tc>
        <w:tc>
          <w:tcPr>
            <w:tcW w:w="1598" w:type="dxa"/>
            <w:shd w:val="clear" w:color="auto" w:fill="D9D9D9"/>
            <w:vAlign w:val="center"/>
          </w:tcPr>
          <w:p>
            <w:pPr>
              <w:adjustRightInd w:val="0"/>
              <w:snapToGrid w:val="0"/>
              <w:jc w:val="center"/>
              <w:rPr>
                <w:rFonts w:hint="eastAsia" w:ascii="宋体" w:hAnsi="宋体" w:cs="宋体"/>
                <w:szCs w:val="21"/>
              </w:rPr>
            </w:pPr>
            <w:r>
              <w:rPr>
                <w:rFonts w:hint="eastAsia" w:ascii="宋体" w:hAnsi="宋体" w:cs="宋体"/>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8" w:hRule="atLeast"/>
          <w:jc w:val="center"/>
        </w:trPr>
        <w:tc>
          <w:tcPr>
            <w:tcW w:w="890"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3119" w:type="dxa"/>
            <w:vAlign w:val="center"/>
          </w:tcPr>
          <w:p>
            <w:pPr>
              <w:jc w:val="center"/>
              <w:rPr>
                <w:rFonts w:hint="eastAsia" w:ascii="宋体" w:hAnsi="宋体" w:cs="宋体"/>
                <w:szCs w:val="21"/>
              </w:rPr>
            </w:pPr>
            <w:r>
              <w:rPr>
                <w:rFonts w:hint="eastAsia" w:ascii="宋体" w:hAnsi="宋体" w:cs="宋体"/>
                <w:szCs w:val="21"/>
              </w:rPr>
              <w:t>坦洲镇污水处理厂消毒剂</w:t>
            </w:r>
          </w:p>
          <w:p>
            <w:pPr>
              <w:jc w:val="center"/>
              <w:rPr>
                <w:rFonts w:hint="eastAsia" w:ascii="宋体" w:hAnsi="宋体" w:cs="宋体"/>
                <w:szCs w:val="21"/>
              </w:rPr>
            </w:pPr>
            <w:r>
              <w:rPr>
                <w:rFonts w:hint="eastAsia" w:ascii="宋体" w:hAnsi="宋体" w:cs="宋体"/>
                <w:szCs w:val="21"/>
              </w:rPr>
              <w:t>采购项目</w:t>
            </w:r>
          </w:p>
        </w:tc>
        <w:tc>
          <w:tcPr>
            <w:tcW w:w="3827" w:type="dxa"/>
            <w:vAlign w:val="center"/>
          </w:tcPr>
          <w:p>
            <w:pPr>
              <w:adjustRightInd w:val="0"/>
              <w:snapToGrid w:val="0"/>
              <w:rPr>
                <w:rFonts w:hint="eastAsia" w:ascii="宋体" w:hAnsi="宋体" w:cs="宋体"/>
                <w:szCs w:val="21"/>
              </w:rPr>
            </w:pPr>
          </w:p>
        </w:tc>
        <w:tc>
          <w:tcPr>
            <w:tcW w:w="1598" w:type="dxa"/>
            <w:vAlign w:val="center"/>
          </w:tcPr>
          <w:p>
            <w:pPr>
              <w:adjustRightInd w:val="0"/>
              <w:snapToGrid w:val="0"/>
              <w:rPr>
                <w:rFonts w:hint="eastAsia" w:ascii="宋体" w:hAnsi="宋体" w:cs="宋体"/>
                <w:szCs w:val="21"/>
              </w:rPr>
            </w:pPr>
          </w:p>
        </w:tc>
      </w:tr>
    </w:tbl>
    <w:p>
      <w:pPr>
        <w:snapToGrid w:val="0"/>
        <w:spacing w:line="360" w:lineRule="auto"/>
        <w:ind w:left="315" w:hanging="315" w:hangingChars="150"/>
        <w:rPr>
          <w:rFonts w:hint="eastAsia" w:ascii="宋体" w:hAnsi="宋体" w:cs="宋体"/>
          <w:szCs w:val="21"/>
        </w:rPr>
      </w:pPr>
      <w:r>
        <w:rPr>
          <w:rFonts w:hint="eastAsia" w:ascii="宋体" w:hAnsi="宋体" w:cs="宋体"/>
          <w:szCs w:val="21"/>
        </w:rPr>
        <w:t xml:space="preserve">   注：</w:t>
      </w:r>
    </w:p>
    <w:p>
      <w:pPr>
        <w:spacing w:line="360" w:lineRule="auto"/>
        <w:ind w:firstLine="411" w:firstLineChars="196"/>
        <w:rPr>
          <w:rFonts w:hint="eastAsia" w:ascii="宋体" w:hAnsi="宋体" w:cs="宋体"/>
          <w:szCs w:val="21"/>
        </w:rPr>
      </w:pPr>
      <w:r>
        <w:rPr>
          <w:rFonts w:hint="eastAsia" w:ascii="宋体" w:hAnsi="宋体" w:cs="宋体"/>
          <w:szCs w:val="21"/>
        </w:rPr>
        <w:t>投标价格包括：</w:t>
      </w:r>
      <w:r>
        <w:rPr>
          <w:rFonts w:hint="eastAsia" w:ascii="宋体" w:hAnsi="宋体" w:cs="宋体"/>
          <w:szCs w:val="21"/>
          <w:highlight w:val="none"/>
          <w:lang w:eastAsia="zh-CN"/>
        </w:rPr>
        <w:t>产品</w:t>
      </w:r>
      <w:r>
        <w:rPr>
          <w:rFonts w:hint="eastAsia" w:ascii="宋体" w:hAnsi="宋体" w:cs="宋体"/>
          <w:szCs w:val="21"/>
          <w:highlight w:val="none"/>
        </w:rPr>
        <w:t>及</w:t>
      </w:r>
      <w:r>
        <w:rPr>
          <w:rFonts w:hint="eastAsia" w:ascii="宋体" w:hAnsi="宋体" w:cs="宋体"/>
          <w:szCs w:val="21"/>
          <w:highlight w:val="none"/>
          <w:lang w:eastAsia="zh-CN"/>
        </w:rPr>
        <w:t>配套设备</w:t>
      </w:r>
      <w:r>
        <w:rPr>
          <w:rFonts w:hint="eastAsia" w:ascii="宋体" w:hAnsi="宋体" w:cs="宋体"/>
          <w:szCs w:val="21"/>
          <w:highlight w:val="none"/>
        </w:rPr>
        <w:t>的购置和安装、运输</w:t>
      </w:r>
      <w:r>
        <w:rPr>
          <w:rFonts w:hint="eastAsia" w:ascii="宋体" w:hAnsi="宋体" w:cs="宋体"/>
          <w:szCs w:val="21"/>
        </w:rPr>
        <w:t>保险、装卸、培训辅导、质保期售后服务、全额含税发票、雇员费用、合同实施过程中应预见和不可预见费用等。所有价格均应以人民币报价，金额单位为元。</w:t>
      </w:r>
    </w:p>
    <w:p>
      <w:pPr>
        <w:snapToGrid w:val="0"/>
        <w:spacing w:line="360" w:lineRule="auto"/>
        <w:ind w:left="314" w:hanging="120"/>
        <w:rPr>
          <w:rFonts w:hint="eastAsia" w:ascii="宋体" w:hAnsi="宋体" w:cs="宋体"/>
          <w:szCs w:val="21"/>
        </w:rPr>
      </w:pPr>
    </w:p>
    <w:p>
      <w:pPr>
        <w:spacing w:line="400" w:lineRule="exact"/>
        <w:rPr>
          <w:rFonts w:hint="eastAsia" w:ascii="宋体" w:hAnsi="宋体" w:cs="宋体"/>
          <w:bCs/>
          <w:kern w:val="28"/>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400" w:lineRule="exact"/>
        <w:ind w:firstLine="4725" w:firstLineChars="2250"/>
        <w:rPr>
          <w:rFonts w:hint="eastAsia" w:ascii="宋体" w:hAnsi="宋体" w:cs="宋体"/>
        </w:rPr>
      </w:pPr>
    </w:p>
    <w:p>
      <w:pPr>
        <w:spacing w:line="400" w:lineRule="exact"/>
        <w:ind w:firstLine="4725" w:firstLineChars="2250"/>
        <w:rPr>
          <w:rFonts w:hint="eastAsia" w:ascii="宋体" w:hAnsi="宋体" w:cs="宋体"/>
        </w:rPr>
      </w:pPr>
    </w:p>
    <w:p>
      <w:pPr>
        <w:spacing w:line="400" w:lineRule="exact"/>
        <w:ind w:firstLine="4725" w:firstLineChars="2250"/>
        <w:rPr>
          <w:rFonts w:hint="eastAsia" w:ascii="宋体" w:hAnsi="宋体" w:cs="宋体"/>
        </w:rPr>
      </w:pPr>
    </w:p>
    <w:p>
      <w:pPr>
        <w:spacing w:line="400" w:lineRule="exact"/>
        <w:ind w:firstLine="4725" w:firstLineChars="2250"/>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rPr>
          <w:rFonts w:hint="eastAsia" w:ascii="宋体" w:hAnsi="宋体" w:cs="宋体"/>
          <w:sz w:val="28"/>
          <w:szCs w:val="28"/>
        </w:rPr>
      </w:pPr>
      <w:bookmarkStart w:id="43" w:name="_Toc421205753"/>
      <w:bookmarkStart w:id="44" w:name="_Toc420684756"/>
      <w:bookmarkStart w:id="45" w:name="_Toc421004190"/>
      <w:r>
        <w:rPr>
          <w:rFonts w:hint="eastAsia" w:ascii="宋体" w:hAnsi="宋体" w:cs="宋体"/>
          <w:sz w:val="28"/>
          <w:szCs w:val="28"/>
        </w:rPr>
        <w:t xml:space="preserve">表5-2  </w:t>
      </w:r>
      <w:bookmarkEnd w:id="43"/>
      <w:bookmarkEnd w:id="44"/>
      <w:bookmarkEnd w:id="45"/>
      <w:r>
        <w:rPr>
          <w:rFonts w:hint="eastAsia" w:ascii="宋体" w:hAnsi="宋体" w:cs="宋体"/>
          <w:sz w:val="28"/>
          <w:szCs w:val="28"/>
        </w:rPr>
        <w:t>详细报价清单</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投标人按采购人提供的详细采购设备清单进行报价：</w:t>
      </w:r>
    </w:p>
    <w:tbl>
      <w:tblPr>
        <w:tblStyle w:val="55"/>
        <w:tblW w:w="1027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7"/>
        <w:gridCol w:w="1800"/>
        <w:gridCol w:w="1271"/>
        <w:gridCol w:w="925"/>
        <w:gridCol w:w="2093"/>
        <w:gridCol w:w="921"/>
        <w:gridCol w:w="1688"/>
        <w:gridCol w:w="11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27" w:type="dxa"/>
            <w:shd w:val="clear" w:color="auto" w:fill="FFFFFF"/>
            <w:noWrap w:val="0"/>
            <w:vAlign w:val="center"/>
          </w:tcPr>
          <w:p>
            <w:pPr>
              <w:jc w:val="center"/>
              <w:rPr>
                <w:rFonts w:ascii="宋体" w:cs="Arial"/>
                <w:b/>
                <w:szCs w:val="21"/>
              </w:rPr>
            </w:pPr>
            <w:r>
              <w:rPr>
                <w:rFonts w:hint="eastAsia" w:ascii="宋体" w:hAnsi="宋体" w:cs="Arial"/>
                <w:b/>
                <w:szCs w:val="21"/>
              </w:rPr>
              <w:t>序号</w:t>
            </w:r>
          </w:p>
        </w:tc>
        <w:tc>
          <w:tcPr>
            <w:tcW w:w="1800" w:type="dxa"/>
            <w:shd w:val="clear" w:color="auto" w:fill="FFFFFF"/>
            <w:noWrap w:val="0"/>
            <w:vAlign w:val="center"/>
          </w:tcPr>
          <w:p>
            <w:pPr>
              <w:jc w:val="center"/>
              <w:rPr>
                <w:rFonts w:ascii="宋体" w:cs="Arial"/>
                <w:b/>
                <w:szCs w:val="21"/>
              </w:rPr>
            </w:pPr>
            <w:r>
              <w:rPr>
                <w:rFonts w:hint="eastAsia" w:ascii="宋体" w:hAnsi="宋体" w:cs="Arial"/>
                <w:b/>
                <w:szCs w:val="21"/>
              </w:rPr>
              <w:t>名称</w:t>
            </w:r>
          </w:p>
        </w:tc>
        <w:tc>
          <w:tcPr>
            <w:tcW w:w="1271" w:type="dxa"/>
            <w:tcBorders>
              <w:right w:val="single" w:color="auto" w:sz="4" w:space="0"/>
            </w:tcBorders>
            <w:shd w:val="clear" w:color="auto" w:fill="FFFFFF"/>
            <w:noWrap w:val="0"/>
            <w:vAlign w:val="center"/>
          </w:tcPr>
          <w:p>
            <w:pPr>
              <w:jc w:val="center"/>
              <w:rPr>
                <w:rFonts w:ascii="宋体" w:cs="Arial"/>
                <w:b/>
                <w:szCs w:val="21"/>
              </w:rPr>
            </w:pPr>
            <w:r>
              <w:rPr>
                <w:rFonts w:hint="eastAsia" w:ascii="宋体" w:hAnsi="宋体" w:cs="Arial"/>
                <w:b/>
                <w:szCs w:val="21"/>
              </w:rPr>
              <w:t>规格型号</w:t>
            </w:r>
          </w:p>
        </w:tc>
        <w:tc>
          <w:tcPr>
            <w:tcW w:w="925" w:type="dxa"/>
            <w:tcBorders>
              <w:left w:val="single" w:color="auto" w:sz="4" w:space="0"/>
              <w:right w:val="single" w:color="auto" w:sz="4" w:space="0"/>
            </w:tcBorders>
            <w:shd w:val="clear" w:color="auto" w:fill="FFFFFF"/>
            <w:noWrap w:val="0"/>
            <w:vAlign w:val="center"/>
          </w:tcPr>
          <w:p>
            <w:pPr>
              <w:jc w:val="center"/>
              <w:rPr>
                <w:rFonts w:ascii="宋体" w:cs="Arial"/>
                <w:b/>
                <w:szCs w:val="21"/>
              </w:rPr>
            </w:pPr>
            <w:r>
              <w:rPr>
                <w:rFonts w:hint="eastAsia" w:ascii="宋体" w:hAnsi="宋体" w:cs="Arial"/>
                <w:b/>
                <w:szCs w:val="21"/>
              </w:rPr>
              <w:t>品牌</w:t>
            </w:r>
          </w:p>
        </w:tc>
        <w:tc>
          <w:tcPr>
            <w:tcW w:w="2093" w:type="dxa"/>
            <w:tcBorders>
              <w:left w:val="single" w:color="auto" w:sz="4" w:space="0"/>
            </w:tcBorders>
            <w:shd w:val="clear" w:color="auto" w:fill="FFFFFF"/>
            <w:noWrap w:val="0"/>
            <w:vAlign w:val="center"/>
          </w:tcPr>
          <w:p>
            <w:pPr>
              <w:jc w:val="center"/>
              <w:rPr>
                <w:rFonts w:ascii="宋体" w:cs="Arial"/>
                <w:b/>
                <w:szCs w:val="21"/>
              </w:rPr>
            </w:pPr>
            <w:r>
              <w:rPr>
                <w:rFonts w:hint="eastAsia" w:ascii="宋体" w:hAnsi="宋体" w:cs="Arial"/>
                <w:b/>
                <w:szCs w:val="21"/>
              </w:rPr>
              <w:t>制造商</w:t>
            </w:r>
          </w:p>
        </w:tc>
        <w:tc>
          <w:tcPr>
            <w:tcW w:w="921" w:type="dxa"/>
            <w:shd w:val="clear" w:color="auto" w:fill="FFFFFF"/>
            <w:noWrap w:val="0"/>
            <w:vAlign w:val="center"/>
          </w:tcPr>
          <w:p>
            <w:pPr>
              <w:jc w:val="center"/>
              <w:rPr>
                <w:rFonts w:ascii="宋体" w:cs="Arial"/>
                <w:b/>
                <w:szCs w:val="21"/>
              </w:rPr>
            </w:pPr>
            <w:r>
              <w:rPr>
                <w:rFonts w:hint="eastAsia" w:ascii="宋体" w:hAnsi="宋体" w:cs="Arial"/>
                <w:b/>
                <w:szCs w:val="21"/>
              </w:rPr>
              <w:t>数量</w:t>
            </w:r>
          </w:p>
        </w:tc>
        <w:tc>
          <w:tcPr>
            <w:tcW w:w="1688" w:type="dxa"/>
            <w:shd w:val="clear" w:color="auto" w:fill="FFFFFF"/>
            <w:noWrap w:val="0"/>
            <w:vAlign w:val="center"/>
          </w:tcPr>
          <w:p>
            <w:pPr>
              <w:jc w:val="center"/>
              <w:rPr>
                <w:rFonts w:ascii="宋体" w:cs="Arial"/>
                <w:b/>
                <w:szCs w:val="21"/>
              </w:rPr>
            </w:pPr>
            <w:r>
              <w:rPr>
                <w:rFonts w:hint="eastAsia" w:ascii="宋体" w:hAnsi="宋体" w:cs="Arial"/>
                <w:b/>
                <w:szCs w:val="21"/>
              </w:rPr>
              <w:t>单价</w:t>
            </w:r>
          </w:p>
        </w:tc>
        <w:tc>
          <w:tcPr>
            <w:tcW w:w="1147" w:type="dxa"/>
            <w:shd w:val="clear" w:color="auto" w:fill="FFFFFF"/>
            <w:noWrap w:val="0"/>
            <w:vAlign w:val="center"/>
          </w:tcPr>
          <w:p>
            <w:pPr>
              <w:jc w:val="center"/>
              <w:rPr>
                <w:rFonts w:ascii="宋体" w:cs="Arial"/>
                <w:b/>
                <w:szCs w:val="21"/>
              </w:rPr>
            </w:pPr>
            <w:r>
              <w:rPr>
                <w:rFonts w:hint="eastAsia" w:ascii="宋体" w:hAnsi="宋体" w:cs="Arial"/>
                <w:b/>
                <w:szCs w:val="21"/>
              </w:rPr>
              <w:t>总价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27" w:type="dxa"/>
            <w:shd w:val="clear" w:color="auto" w:fill="FFFFFF"/>
            <w:noWrap w:val="0"/>
            <w:vAlign w:val="center"/>
          </w:tcPr>
          <w:p>
            <w:pPr>
              <w:snapToGrid w:val="0"/>
              <w:jc w:val="center"/>
              <w:rPr>
                <w:rFonts w:ascii="宋体" w:cs="Arial"/>
                <w:szCs w:val="21"/>
              </w:rPr>
            </w:pPr>
            <w:r>
              <w:rPr>
                <w:rFonts w:ascii="宋体" w:hAnsi="宋体" w:cs="Arial"/>
                <w:szCs w:val="21"/>
              </w:rPr>
              <w:t>1</w:t>
            </w:r>
          </w:p>
        </w:tc>
        <w:tc>
          <w:tcPr>
            <w:tcW w:w="1800" w:type="dxa"/>
            <w:shd w:val="clear" w:color="auto" w:fill="FFFFFF"/>
            <w:noWrap w:val="0"/>
            <w:vAlign w:val="top"/>
          </w:tcPr>
          <w:p>
            <w:pPr>
              <w:jc w:val="center"/>
            </w:pPr>
            <w:r>
              <w:rPr>
                <w:rFonts w:hint="eastAsia" w:ascii="宋体" w:hAnsi="宋体" w:cs="Arial"/>
                <w:szCs w:val="21"/>
              </w:rPr>
              <w:t>…</w:t>
            </w:r>
          </w:p>
        </w:tc>
        <w:tc>
          <w:tcPr>
            <w:tcW w:w="1271" w:type="dxa"/>
            <w:tcBorders>
              <w:right w:val="single" w:color="auto" w:sz="4" w:space="0"/>
            </w:tcBorders>
            <w:shd w:val="clear" w:color="auto" w:fill="FFFFFF"/>
            <w:noWrap w:val="0"/>
            <w:vAlign w:val="top"/>
          </w:tcPr>
          <w:p>
            <w:pPr>
              <w:snapToGrid w:val="0"/>
              <w:rPr>
                <w:rFonts w:ascii="宋体" w:cs="Arial"/>
                <w:szCs w:val="21"/>
              </w:rPr>
            </w:pPr>
          </w:p>
        </w:tc>
        <w:tc>
          <w:tcPr>
            <w:tcW w:w="925" w:type="dxa"/>
            <w:tcBorders>
              <w:left w:val="single" w:color="auto" w:sz="4" w:space="0"/>
              <w:right w:val="single" w:color="auto" w:sz="4" w:space="0"/>
            </w:tcBorders>
            <w:shd w:val="clear" w:color="auto" w:fill="FFFFFF"/>
            <w:noWrap w:val="0"/>
            <w:vAlign w:val="top"/>
          </w:tcPr>
          <w:p>
            <w:pPr>
              <w:snapToGrid w:val="0"/>
              <w:rPr>
                <w:rFonts w:ascii="宋体" w:cs="Arial"/>
                <w:szCs w:val="21"/>
              </w:rPr>
            </w:pPr>
          </w:p>
        </w:tc>
        <w:tc>
          <w:tcPr>
            <w:tcW w:w="2093" w:type="dxa"/>
            <w:tcBorders>
              <w:left w:val="single" w:color="auto" w:sz="4" w:space="0"/>
            </w:tcBorders>
            <w:shd w:val="clear" w:color="auto" w:fill="FFFFFF"/>
            <w:noWrap w:val="0"/>
            <w:vAlign w:val="top"/>
          </w:tcPr>
          <w:p>
            <w:pPr>
              <w:snapToGrid w:val="0"/>
              <w:rPr>
                <w:rFonts w:ascii="宋体" w:cs="Arial"/>
                <w:szCs w:val="21"/>
              </w:rPr>
            </w:pPr>
          </w:p>
        </w:tc>
        <w:tc>
          <w:tcPr>
            <w:tcW w:w="921" w:type="dxa"/>
            <w:shd w:val="clear" w:color="auto" w:fill="FFFFFF"/>
            <w:noWrap w:val="0"/>
            <w:vAlign w:val="top"/>
          </w:tcPr>
          <w:p>
            <w:pPr>
              <w:snapToGrid w:val="0"/>
              <w:rPr>
                <w:rFonts w:ascii="宋体" w:cs="Arial"/>
                <w:szCs w:val="21"/>
              </w:rPr>
            </w:pPr>
          </w:p>
        </w:tc>
        <w:tc>
          <w:tcPr>
            <w:tcW w:w="1688" w:type="dxa"/>
            <w:shd w:val="clear" w:color="auto" w:fill="FFFFFF"/>
            <w:noWrap w:val="0"/>
            <w:vAlign w:val="top"/>
          </w:tcPr>
          <w:p>
            <w:pPr>
              <w:snapToGrid w:val="0"/>
              <w:rPr>
                <w:rFonts w:ascii="宋体" w:cs="Arial"/>
                <w:szCs w:val="21"/>
              </w:rPr>
            </w:pP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r>
              <w:rPr>
                <w:rFonts w:hint="eastAsia" w:ascii="宋体" w:hAnsi="宋体" w:cs="Arial"/>
                <w:szCs w:val="21"/>
              </w:rPr>
              <w:t>…</w:t>
            </w:r>
          </w:p>
        </w:tc>
        <w:tc>
          <w:tcPr>
            <w:tcW w:w="1800" w:type="dxa"/>
            <w:shd w:val="clear" w:color="auto" w:fill="FFFFFF"/>
            <w:noWrap w:val="0"/>
            <w:vAlign w:val="top"/>
          </w:tcPr>
          <w:p>
            <w:pPr>
              <w:jc w:val="center"/>
            </w:pPr>
            <w:r>
              <w:rPr>
                <w:rFonts w:hint="eastAsia" w:ascii="宋体" w:hAnsi="宋体" w:cs="Arial"/>
                <w:szCs w:val="21"/>
              </w:rPr>
              <w:t>…</w:t>
            </w:r>
          </w:p>
        </w:tc>
        <w:tc>
          <w:tcPr>
            <w:tcW w:w="1271" w:type="dxa"/>
            <w:tcBorders>
              <w:right w:val="single" w:color="auto" w:sz="4" w:space="0"/>
            </w:tcBorders>
            <w:shd w:val="clear" w:color="auto" w:fill="FFFFFF"/>
            <w:noWrap w:val="0"/>
            <w:vAlign w:val="top"/>
          </w:tcPr>
          <w:p>
            <w:pPr>
              <w:snapToGrid w:val="0"/>
              <w:rPr>
                <w:rFonts w:ascii="宋体" w:cs="Arial"/>
                <w:szCs w:val="21"/>
              </w:rPr>
            </w:pPr>
          </w:p>
        </w:tc>
        <w:tc>
          <w:tcPr>
            <w:tcW w:w="925" w:type="dxa"/>
            <w:tcBorders>
              <w:left w:val="single" w:color="auto" w:sz="4" w:space="0"/>
              <w:right w:val="single" w:color="auto" w:sz="4" w:space="0"/>
            </w:tcBorders>
            <w:shd w:val="clear" w:color="auto" w:fill="FFFFFF"/>
            <w:noWrap w:val="0"/>
            <w:vAlign w:val="top"/>
          </w:tcPr>
          <w:p>
            <w:pPr>
              <w:snapToGrid w:val="0"/>
              <w:rPr>
                <w:rFonts w:ascii="宋体" w:cs="Arial"/>
                <w:szCs w:val="21"/>
              </w:rPr>
            </w:pPr>
          </w:p>
        </w:tc>
        <w:tc>
          <w:tcPr>
            <w:tcW w:w="2093" w:type="dxa"/>
            <w:tcBorders>
              <w:left w:val="single" w:color="auto" w:sz="4" w:space="0"/>
            </w:tcBorders>
            <w:shd w:val="clear" w:color="auto" w:fill="FFFFFF"/>
            <w:noWrap w:val="0"/>
            <w:vAlign w:val="top"/>
          </w:tcPr>
          <w:p>
            <w:pPr>
              <w:snapToGrid w:val="0"/>
              <w:rPr>
                <w:rFonts w:ascii="宋体" w:cs="Arial"/>
                <w:szCs w:val="21"/>
              </w:rPr>
            </w:pPr>
          </w:p>
        </w:tc>
        <w:tc>
          <w:tcPr>
            <w:tcW w:w="921" w:type="dxa"/>
            <w:shd w:val="clear" w:color="auto" w:fill="FFFFFF"/>
            <w:noWrap w:val="0"/>
            <w:vAlign w:val="top"/>
          </w:tcPr>
          <w:p>
            <w:pPr>
              <w:snapToGrid w:val="0"/>
              <w:rPr>
                <w:rFonts w:ascii="宋体" w:cs="Arial"/>
                <w:szCs w:val="21"/>
              </w:rPr>
            </w:pPr>
          </w:p>
        </w:tc>
        <w:tc>
          <w:tcPr>
            <w:tcW w:w="1688" w:type="dxa"/>
            <w:shd w:val="clear" w:color="auto" w:fill="FFFFFF"/>
            <w:noWrap w:val="0"/>
            <w:vAlign w:val="top"/>
          </w:tcPr>
          <w:p>
            <w:pPr>
              <w:snapToGrid w:val="0"/>
              <w:rPr>
                <w:rFonts w:ascii="宋体" w:cs="Arial"/>
                <w:szCs w:val="21"/>
              </w:rPr>
            </w:pP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1800" w:type="dxa"/>
            <w:shd w:val="clear" w:color="auto" w:fill="FFFFFF"/>
            <w:noWrap w:val="0"/>
            <w:vAlign w:val="top"/>
          </w:tcPr>
          <w:p>
            <w:pPr>
              <w:jc w:val="center"/>
            </w:pPr>
            <w:r>
              <w:rPr>
                <w:rFonts w:hint="eastAsia" w:ascii="宋体" w:hAnsi="宋体" w:cs="Arial"/>
                <w:szCs w:val="21"/>
              </w:rPr>
              <w:t>…</w:t>
            </w:r>
          </w:p>
        </w:tc>
        <w:tc>
          <w:tcPr>
            <w:tcW w:w="1271" w:type="dxa"/>
            <w:tcBorders>
              <w:right w:val="single" w:color="auto" w:sz="4" w:space="0"/>
            </w:tcBorders>
            <w:shd w:val="clear" w:color="auto" w:fill="FFFFFF"/>
            <w:noWrap w:val="0"/>
            <w:vAlign w:val="top"/>
          </w:tcPr>
          <w:p>
            <w:pPr>
              <w:snapToGrid w:val="0"/>
              <w:rPr>
                <w:rFonts w:ascii="宋体" w:cs="Arial"/>
                <w:szCs w:val="21"/>
              </w:rPr>
            </w:pPr>
          </w:p>
        </w:tc>
        <w:tc>
          <w:tcPr>
            <w:tcW w:w="925" w:type="dxa"/>
            <w:tcBorders>
              <w:left w:val="single" w:color="auto" w:sz="4" w:space="0"/>
              <w:right w:val="single" w:color="auto" w:sz="4" w:space="0"/>
            </w:tcBorders>
            <w:shd w:val="clear" w:color="auto" w:fill="FFFFFF"/>
            <w:noWrap w:val="0"/>
            <w:vAlign w:val="top"/>
          </w:tcPr>
          <w:p>
            <w:pPr>
              <w:snapToGrid w:val="0"/>
              <w:rPr>
                <w:rFonts w:ascii="宋体" w:cs="Arial"/>
                <w:szCs w:val="21"/>
              </w:rPr>
            </w:pPr>
          </w:p>
        </w:tc>
        <w:tc>
          <w:tcPr>
            <w:tcW w:w="2093" w:type="dxa"/>
            <w:tcBorders>
              <w:left w:val="single" w:color="auto" w:sz="4" w:space="0"/>
            </w:tcBorders>
            <w:shd w:val="clear" w:color="auto" w:fill="FFFFFF"/>
            <w:noWrap w:val="0"/>
            <w:vAlign w:val="top"/>
          </w:tcPr>
          <w:p>
            <w:pPr>
              <w:snapToGrid w:val="0"/>
              <w:rPr>
                <w:rFonts w:ascii="宋体" w:cs="Arial"/>
                <w:szCs w:val="21"/>
              </w:rPr>
            </w:pPr>
          </w:p>
        </w:tc>
        <w:tc>
          <w:tcPr>
            <w:tcW w:w="921" w:type="dxa"/>
            <w:shd w:val="clear" w:color="auto" w:fill="FFFFFF"/>
            <w:noWrap w:val="0"/>
            <w:vAlign w:val="top"/>
          </w:tcPr>
          <w:p>
            <w:pPr>
              <w:snapToGrid w:val="0"/>
              <w:rPr>
                <w:rFonts w:ascii="宋体" w:cs="Arial"/>
                <w:szCs w:val="21"/>
              </w:rPr>
            </w:pPr>
          </w:p>
        </w:tc>
        <w:tc>
          <w:tcPr>
            <w:tcW w:w="1688" w:type="dxa"/>
            <w:shd w:val="clear" w:color="auto" w:fill="FFFFFF"/>
            <w:noWrap w:val="0"/>
            <w:vAlign w:val="top"/>
          </w:tcPr>
          <w:p>
            <w:pPr>
              <w:snapToGrid w:val="0"/>
              <w:rPr>
                <w:rFonts w:ascii="宋体" w:cs="Arial"/>
                <w:szCs w:val="21"/>
              </w:rPr>
            </w:pP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1800" w:type="dxa"/>
            <w:shd w:val="clear" w:color="auto" w:fill="FFFFFF"/>
            <w:noWrap w:val="0"/>
            <w:vAlign w:val="top"/>
          </w:tcPr>
          <w:p>
            <w:pPr>
              <w:snapToGrid w:val="0"/>
              <w:jc w:val="center"/>
              <w:rPr>
                <w:rFonts w:ascii="宋体" w:cs="Arial"/>
                <w:szCs w:val="21"/>
              </w:rPr>
            </w:pPr>
            <w:r>
              <w:rPr>
                <w:rFonts w:hint="eastAsia" w:ascii="宋体" w:hAnsi="宋体" w:cs="Arial"/>
                <w:szCs w:val="21"/>
              </w:rPr>
              <w:t>…</w:t>
            </w:r>
          </w:p>
        </w:tc>
        <w:tc>
          <w:tcPr>
            <w:tcW w:w="1271" w:type="dxa"/>
            <w:tcBorders>
              <w:right w:val="single" w:color="auto" w:sz="4" w:space="0"/>
            </w:tcBorders>
            <w:shd w:val="clear" w:color="auto" w:fill="FFFFFF"/>
            <w:noWrap w:val="0"/>
            <w:vAlign w:val="top"/>
          </w:tcPr>
          <w:p>
            <w:pPr>
              <w:snapToGrid w:val="0"/>
              <w:rPr>
                <w:rFonts w:ascii="宋体" w:cs="Arial"/>
                <w:szCs w:val="21"/>
              </w:rPr>
            </w:pPr>
          </w:p>
        </w:tc>
        <w:tc>
          <w:tcPr>
            <w:tcW w:w="925" w:type="dxa"/>
            <w:tcBorders>
              <w:left w:val="single" w:color="auto" w:sz="4" w:space="0"/>
              <w:right w:val="single" w:color="auto" w:sz="4" w:space="0"/>
            </w:tcBorders>
            <w:shd w:val="clear" w:color="auto" w:fill="FFFFFF"/>
            <w:noWrap w:val="0"/>
            <w:vAlign w:val="top"/>
          </w:tcPr>
          <w:p>
            <w:pPr>
              <w:snapToGrid w:val="0"/>
              <w:rPr>
                <w:rFonts w:ascii="宋体" w:cs="Arial"/>
                <w:szCs w:val="21"/>
              </w:rPr>
            </w:pPr>
          </w:p>
        </w:tc>
        <w:tc>
          <w:tcPr>
            <w:tcW w:w="2093" w:type="dxa"/>
            <w:tcBorders>
              <w:left w:val="single" w:color="auto" w:sz="4" w:space="0"/>
            </w:tcBorders>
            <w:shd w:val="clear" w:color="auto" w:fill="FFFFFF"/>
            <w:noWrap w:val="0"/>
            <w:vAlign w:val="top"/>
          </w:tcPr>
          <w:p>
            <w:pPr>
              <w:snapToGrid w:val="0"/>
              <w:rPr>
                <w:rFonts w:ascii="宋体" w:cs="Arial"/>
                <w:szCs w:val="21"/>
              </w:rPr>
            </w:pPr>
          </w:p>
        </w:tc>
        <w:tc>
          <w:tcPr>
            <w:tcW w:w="921" w:type="dxa"/>
            <w:shd w:val="clear" w:color="auto" w:fill="FFFFFF"/>
            <w:noWrap w:val="0"/>
            <w:vAlign w:val="top"/>
          </w:tcPr>
          <w:p>
            <w:pPr>
              <w:snapToGrid w:val="0"/>
              <w:rPr>
                <w:rFonts w:ascii="宋体" w:cs="Arial"/>
                <w:szCs w:val="21"/>
              </w:rPr>
            </w:pPr>
          </w:p>
        </w:tc>
        <w:tc>
          <w:tcPr>
            <w:tcW w:w="1688" w:type="dxa"/>
            <w:shd w:val="clear" w:color="auto" w:fill="FFFFFF"/>
            <w:noWrap w:val="0"/>
            <w:vAlign w:val="top"/>
          </w:tcPr>
          <w:p>
            <w:pPr>
              <w:snapToGrid w:val="0"/>
              <w:rPr>
                <w:rFonts w:ascii="宋体" w:cs="Arial"/>
                <w:szCs w:val="21"/>
              </w:rPr>
            </w:pP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cs="Arial"/>
                <w:b/>
                <w:szCs w:val="21"/>
              </w:rPr>
              <w:t>售后服务费（含</w:t>
            </w:r>
            <w:r>
              <w:rPr>
                <w:rFonts w:hint="eastAsia" w:ascii="宋体" w:hAnsi="宋体"/>
                <w:b/>
                <w:szCs w:val="21"/>
              </w:rPr>
              <w:t>安装费、调试费、保修等）</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cs="Arial"/>
                <w:b/>
                <w:szCs w:val="21"/>
              </w:rPr>
              <w:t>人员培训</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b/>
                <w:szCs w:val="21"/>
              </w:rPr>
              <w:t>运杂费、保险费</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cs="Arial"/>
                <w:b/>
                <w:szCs w:val="21"/>
              </w:rPr>
              <w:t>税金</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cs="Arial"/>
                <w:b/>
                <w:szCs w:val="21"/>
              </w:rPr>
              <w:t>其他</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0272" w:type="dxa"/>
            <w:gridSpan w:val="8"/>
            <w:shd w:val="clear" w:color="auto" w:fill="FFFFFF"/>
            <w:noWrap w:val="0"/>
            <w:vAlign w:val="top"/>
          </w:tcPr>
          <w:p>
            <w:pPr>
              <w:snapToGrid w:val="0"/>
              <w:rPr>
                <w:rFonts w:ascii="宋体" w:cs="Arial"/>
                <w:b/>
                <w:szCs w:val="21"/>
              </w:rPr>
            </w:pPr>
            <w:r>
              <w:rPr>
                <w:rFonts w:hint="eastAsia" w:ascii="宋体" w:hAnsi="宋体" w:cs="Arial"/>
                <w:b/>
                <w:szCs w:val="21"/>
              </w:rPr>
              <w:t>投标总价合计：</w:t>
            </w:r>
          </w:p>
        </w:tc>
      </w:tr>
    </w:tbl>
    <w:p>
      <w:pPr>
        <w:spacing w:line="360" w:lineRule="auto"/>
        <w:rPr>
          <w:rFonts w:hint="eastAsia" w:ascii="宋体" w:hAnsi="宋体" w:cs="宋体"/>
          <w:szCs w:val="21"/>
        </w:rPr>
      </w:pPr>
      <w:r>
        <w:rPr>
          <w:rFonts w:hint="eastAsia" w:ascii="宋体" w:hAnsi="宋体" w:cs="宋体"/>
          <w:szCs w:val="21"/>
        </w:rPr>
        <w:t>注：</w:t>
      </w:r>
    </w:p>
    <w:p>
      <w:pPr>
        <w:spacing w:line="360" w:lineRule="auto"/>
        <w:ind w:left="315" w:hanging="315" w:hangingChars="150"/>
        <w:rPr>
          <w:rFonts w:hint="eastAsia" w:ascii="宋体" w:hAnsi="宋体" w:cs="宋体"/>
          <w:szCs w:val="21"/>
        </w:rPr>
      </w:pPr>
      <w:r>
        <w:rPr>
          <w:rFonts w:hint="eastAsia" w:ascii="宋体" w:hAnsi="宋体" w:cs="宋体"/>
          <w:szCs w:val="21"/>
        </w:rPr>
        <w:t>1、如果不提供详细分项报价将视为没有实质性响应招标文件。</w:t>
      </w:r>
    </w:p>
    <w:p>
      <w:pPr>
        <w:spacing w:line="360" w:lineRule="auto"/>
        <w:rPr>
          <w:rFonts w:hint="eastAsia" w:ascii="宋体" w:hAnsi="宋体" w:cs="宋体"/>
          <w:szCs w:val="21"/>
        </w:rPr>
      </w:pPr>
      <w:r>
        <w:rPr>
          <w:rFonts w:hint="eastAsia" w:ascii="宋体" w:hAnsi="宋体" w:cs="宋体"/>
          <w:szCs w:val="21"/>
        </w:rPr>
        <w:t>2、如本表格式内容不能满足需要，投标人可根据</w:t>
      </w:r>
      <w:r>
        <w:rPr>
          <w:rFonts w:hint="eastAsia" w:ascii="宋体" w:hAnsi="宋体" w:cs="宋体"/>
          <w:szCs w:val="21"/>
          <w:lang w:eastAsia="zh-CN"/>
        </w:rPr>
        <w:t>自身实际情况</w:t>
      </w:r>
      <w:r>
        <w:rPr>
          <w:rFonts w:hint="eastAsia" w:ascii="宋体" w:hAnsi="宋体" w:cs="宋体"/>
          <w:szCs w:val="21"/>
        </w:rPr>
        <w:t>自行划表填写。</w:t>
      </w:r>
    </w:p>
    <w:p>
      <w:pPr>
        <w:spacing w:line="360" w:lineRule="auto"/>
        <w:rPr>
          <w:rFonts w:hint="eastAsia" w:ascii="宋体" w:hAnsi="宋体" w:cs="宋体"/>
          <w:szCs w:val="21"/>
        </w:rPr>
      </w:pPr>
      <w:r>
        <w:rPr>
          <w:rFonts w:hint="eastAsia" w:ascii="宋体" w:hAnsi="宋体" w:cs="宋体"/>
          <w:szCs w:val="21"/>
        </w:rPr>
        <w:t>3、投标人投标时不得更改采购人发出的采购设备清单数量，否则在确认中标后采购人有权中标人按清单数量施工。</w:t>
      </w: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ind w:firstLine="210" w:firstLineChars="100"/>
        <w:jc w:val="right"/>
        <w:rPr>
          <w:rFonts w:hint="eastAsia" w:ascii="宋体" w:hAnsi="宋体" w:cs="宋体"/>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500" w:lineRule="exact"/>
        <w:ind w:firstLine="4725" w:firstLineChars="2250"/>
        <w:rPr>
          <w:rFonts w:hint="eastAsia" w:ascii="宋体" w:hAnsi="宋体" w:cs="宋体"/>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jc w:val="center"/>
        <w:rPr>
          <w:rFonts w:hint="eastAsia" w:ascii="宋体" w:hAnsi="宋体" w:cs="宋体"/>
          <w:b/>
          <w:bCs/>
          <w:sz w:val="36"/>
          <w:szCs w:val="36"/>
        </w:rPr>
      </w:pPr>
      <w:bookmarkStart w:id="46" w:name="_Toc421004191"/>
      <w:bookmarkStart w:id="47" w:name="_Toc421205754"/>
      <w:bookmarkStart w:id="48" w:name="_Toc420684757"/>
      <w:r>
        <w:rPr>
          <w:rFonts w:hint="eastAsia" w:ascii="宋体" w:hAnsi="宋体" w:cs="宋体"/>
          <w:b/>
          <w:bCs/>
          <w:sz w:val="36"/>
          <w:szCs w:val="36"/>
        </w:rPr>
        <w:t>第二部分 商务文件格式</w:t>
      </w:r>
      <w:bookmarkEnd w:id="46"/>
      <w:bookmarkEnd w:id="47"/>
      <w:bookmarkEnd w:id="48"/>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rPr>
          <w:rFonts w:hint="eastAsia" w:ascii="宋体" w:hAnsi="宋体" w:cs="宋体"/>
          <w:b/>
          <w:sz w:val="44"/>
          <w:szCs w:val="44"/>
        </w:rPr>
      </w:pPr>
    </w:p>
    <w:p>
      <w:pPr>
        <w:spacing w:line="360" w:lineRule="auto"/>
        <w:rPr>
          <w:rFonts w:hint="eastAsia" w:ascii="宋体" w:hAnsi="宋体" w:cs="宋体"/>
          <w:b/>
          <w:sz w:val="44"/>
          <w:szCs w:val="44"/>
        </w:rPr>
      </w:pPr>
    </w:p>
    <w:p>
      <w:pPr>
        <w:rPr>
          <w:rFonts w:hint="eastAsia" w:ascii="宋体" w:hAnsi="宋体" w:cs="宋体"/>
          <w:sz w:val="28"/>
          <w:szCs w:val="28"/>
        </w:rPr>
      </w:pPr>
      <w:bookmarkStart w:id="49" w:name="_Toc263147001"/>
      <w:bookmarkStart w:id="50" w:name="_Toc421004193"/>
      <w:bookmarkStart w:id="51" w:name="_Toc421205756"/>
      <w:bookmarkStart w:id="52" w:name="_Toc420684759"/>
      <w:r>
        <w:rPr>
          <w:rFonts w:hint="eastAsia" w:ascii="宋体" w:hAnsi="宋体" w:cs="宋体"/>
          <w:sz w:val="28"/>
          <w:szCs w:val="28"/>
        </w:rPr>
        <w:t>表5-3  投标函</w:t>
      </w:r>
      <w:bookmarkEnd w:id="49"/>
    </w:p>
    <w:p>
      <w:pPr>
        <w:rPr>
          <w:rFonts w:hint="eastAsia" w:ascii="宋体" w:hAnsi="宋体" w:cs="宋体"/>
          <w:b/>
          <w:sz w:val="36"/>
          <w:szCs w:val="36"/>
        </w:rPr>
      </w:pPr>
    </w:p>
    <w:p>
      <w:pPr>
        <w:spacing w:before="120" w:beforeLines="50" w:after="120" w:afterLines="50" w:line="480" w:lineRule="exact"/>
        <w:rPr>
          <w:rFonts w:hint="eastAsia" w:ascii="宋体" w:hAnsi="宋体" w:eastAsia="宋体" w:cs="宋体"/>
          <w:lang w:eastAsia="zh-CN"/>
        </w:rPr>
      </w:pPr>
      <w:r>
        <w:rPr>
          <w:rFonts w:hint="eastAsia" w:ascii="宋体" w:hAnsi="宋体" w:cs="宋体"/>
        </w:rPr>
        <w:t>致：</w:t>
      </w:r>
      <w:r>
        <w:rPr>
          <w:rFonts w:hint="eastAsia" w:ascii="宋体" w:hAnsi="宋体" w:cs="宋体"/>
          <w:lang w:eastAsia="zh-CN"/>
        </w:rPr>
        <w:t>华联世纪工程咨询股份有限公司中山分公司</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s="宋体"/>
        </w:rPr>
      </w:pPr>
      <w:r>
        <w:rPr>
          <w:rFonts w:hint="eastAsia" w:ascii="宋体" w:hAnsi="宋体" w:cs="宋体"/>
        </w:rPr>
        <w:t>根据贵方的</w:t>
      </w:r>
      <w:r>
        <w:rPr>
          <w:rFonts w:hint="eastAsia" w:ascii="宋体" w:hAnsi="宋体" w:cs="宋体"/>
          <w:szCs w:val="21"/>
          <w:u w:val="single"/>
        </w:rPr>
        <w:t>坦洲镇污水处理厂消毒剂采购项目</w:t>
      </w:r>
      <w:r>
        <w:rPr>
          <w:rFonts w:hint="eastAsia" w:ascii="宋体" w:hAnsi="宋体" w:cs="宋体"/>
        </w:rPr>
        <w:t>的投标邀请函(项目编号：</w:t>
      </w:r>
      <w:r>
        <w:rPr>
          <w:rFonts w:hint="eastAsia" w:ascii="宋体" w:hAnsi="宋体" w:cs="宋体"/>
          <w:szCs w:val="21"/>
          <w:u w:val="single"/>
          <w:lang w:eastAsia="zh-CN"/>
        </w:rPr>
        <w:t>HLSJZSCG-20181229</w:t>
      </w:r>
      <w:r>
        <w:rPr>
          <w:rFonts w:hint="eastAsia" w:ascii="宋体" w:hAnsi="宋体" w:cs="宋体"/>
        </w:rPr>
        <w:t xml:space="preserve">)，签名代表  </w:t>
      </w:r>
      <w:r>
        <w:rPr>
          <w:rFonts w:hint="eastAsia" w:ascii="宋体" w:hAnsi="宋体" w:cs="宋体"/>
          <w:u w:val="single"/>
        </w:rPr>
        <w:t xml:space="preserve">       （姓名、职务）        </w:t>
      </w:r>
      <w:r>
        <w:rPr>
          <w:rFonts w:hint="eastAsia" w:ascii="宋体" w:hAnsi="宋体" w:cs="宋体"/>
        </w:rPr>
        <w:t xml:space="preserve"> 代表投标人</w:t>
      </w:r>
      <w:r>
        <w:rPr>
          <w:rFonts w:hint="eastAsia" w:ascii="宋体" w:hAnsi="宋体" w:cs="宋体"/>
          <w:u w:val="single"/>
        </w:rPr>
        <w:t xml:space="preserve">  （投标人名称）    </w:t>
      </w:r>
      <w:r>
        <w:rPr>
          <w:rFonts w:hint="eastAsia" w:ascii="宋体" w:hAnsi="宋体" w:cs="宋体"/>
        </w:rPr>
        <w:t>参加投标，并提交投标文件。</w:t>
      </w:r>
    </w:p>
    <w:p>
      <w:pPr>
        <w:keepNext w:val="0"/>
        <w:keepLines w:val="0"/>
        <w:pageBreakBefore w:val="0"/>
        <w:widowControl/>
        <w:kinsoku/>
        <w:wordWrap/>
        <w:overflowPunct/>
        <w:topLinePunct w:val="0"/>
        <w:autoSpaceDE/>
        <w:autoSpaceDN/>
        <w:bidi w:val="0"/>
        <w:adjustRightInd/>
        <w:snapToGrid/>
        <w:spacing w:before="120" w:beforeLines="50" w:after="120" w:afterLines="50" w:line="400" w:lineRule="exact"/>
        <w:ind w:left="0" w:leftChars="0" w:right="0" w:rightChars="0" w:firstLine="420"/>
        <w:textAlignment w:val="auto"/>
        <w:outlineLvl w:val="9"/>
        <w:rPr>
          <w:rFonts w:hint="eastAsia" w:ascii="宋体" w:hAnsi="宋体" w:cs="宋体"/>
        </w:rPr>
      </w:pPr>
      <w:r>
        <w:rPr>
          <w:rFonts w:hint="eastAsia" w:ascii="宋体" w:hAnsi="宋体" w:cs="宋体"/>
        </w:rPr>
        <w:t>据此函，本人宣布同意如下：</w:t>
      </w:r>
    </w:p>
    <w:p>
      <w:pPr>
        <w:spacing w:line="480" w:lineRule="exact"/>
        <w:ind w:left="425"/>
        <w:rPr>
          <w:rFonts w:hint="eastAsia" w:ascii="宋体" w:hAnsi="宋体" w:cs="宋体"/>
        </w:rPr>
      </w:pPr>
      <w:r>
        <w:rPr>
          <w:rFonts w:hint="eastAsia" w:ascii="宋体" w:hAnsi="宋体" w:cs="宋体"/>
        </w:rPr>
        <w:t>1．所附“开标一览表” 规定的应提供和交付的全部货物投标总价为（人民币）：____________（大写）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w:t>
      </w:r>
    </w:p>
    <w:p>
      <w:pPr>
        <w:pStyle w:val="7"/>
        <w:widowControl/>
        <w:tabs>
          <w:tab w:val="left" w:pos="1260"/>
        </w:tabs>
        <w:adjustRightInd w:val="0"/>
        <w:spacing w:line="400" w:lineRule="exact"/>
        <w:ind w:left="735" w:leftChars="200" w:hanging="315" w:hangingChars="150"/>
        <w:jc w:val="left"/>
        <w:rPr>
          <w:rFonts w:hint="eastAsia" w:ascii="宋体" w:hAnsi="宋体" w:cs="宋体"/>
          <w:szCs w:val="21"/>
        </w:rPr>
      </w:pPr>
      <w:r>
        <w:rPr>
          <w:rFonts w:hint="eastAsia" w:ascii="宋体" w:hAnsi="宋体" w:cs="宋体"/>
        </w:rPr>
        <w:t>2．我方郑重承诺：除《商务条款偏离表》、《技术规格偏离表》中的差异外，投标人将全部满足招标文件中的各项实质性要求，如果发现投标文件中另有与招标文件中不一致的响应或没有响应，投标人同意采购人有权要求投标人按照招标文件的要求提供设备或服务。投标人并同意按照招标文件的规定履行合同责任和义务。</w:t>
      </w:r>
    </w:p>
    <w:p>
      <w:pPr>
        <w:spacing w:line="480" w:lineRule="exact"/>
        <w:ind w:left="742" w:leftChars="200" w:hanging="322"/>
        <w:rPr>
          <w:rFonts w:hint="eastAsia" w:ascii="宋体" w:hAnsi="宋体" w:cs="宋体"/>
        </w:rPr>
      </w:pPr>
      <w:r>
        <w:rPr>
          <w:rFonts w:hint="eastAsia" w:ascii="宋体" w:hAnsi="宋体" w:cs="宋体"/>
        </w:rPr>
        <w:t>3．我方已经详细地阅读了全部招标文件及其附件，包括澄清、修改文件（如果有）和所有已提供的参考资料以及有关附件，我方完全明白并认为此招标文件没有倾向性，也不存在排斥潜在投标人的内容，我方同意招标文件的相关条款，放弃对招标文件提出误解和质疑的一切权利。</w:t>
      </w:r>
    </w:p>
    <w:p>
      <w:pPr>
        <w:spacing w:line="480" w:lineRule="exact"/>
        <w:ind w:left="742" w:leftChars="200" w:hanging="322"/>
        <w:rPr>
          <w:rFonts w:hint="eastAsia" w:ascii="宋体" w:hAnsi="宋体" w:cs="宋体"/>
        </w:rPr>
      </w:pPr>
      <w:r>
        <w:rPr>
          <w:rFonts w:hint="eastAsia" w:ascii="宋体" w:hAnsi="宋体" w:cs="宋体"/>
        </w:rPr>
        <w:t>4．投标人的投标文件自投标截止之日起有效期为90天。乙方投标有效期则顺延至项目完成验收之日。</w:t>
      </w:r>
    </w:p>
    <w:p>
      <w:pPr>
        <w:spacing w:line="480" w:lineRule="exact"/>
        <w:ind w:firstLine="420"/>
        <w:rPr>
          <w:rFonts w:hint="eastAsia" w:ascii="宋体" w:hAnsi="宋体" w:cs="宋体"/>
        </w:rPr>
      </w:pPr>
      <w:r>
        <w:rPr>
          <w:rFonts w:hint="eastAsia" w:ascii="宋体" w:hAnsi="宋体" w:cs="宋体"/>
        </w:rPr>
        <w:t>5．如果在规定的开标时间后，投标人在投标有效期内撤回投标，其投标保证金将被贵方没收。</w:t>
      </w:r>
    </w:p>
    <w:p>
      <w:pPr>
        <w:spacing w:line="480" w:lineRule="exact"/>
        <w:ind w:left="742" w:leftChars="200" w:hanging="322"/>
        <w:rPr>
          <w:rFonts w:hint="eastAsia" w:ascii="宋体" w:hAnsi="宋体" w:cs="宋体"/>
        </w:rPr>
      </w:pPr>
      <w:r>
        <w:rPr>
          <w:rFonts w:hint="eastAsia" w:ascii="宋体" w:hAnsi="宋体" w:cs="宋体"/>
        </w:rPr>
        <w:t>6．投标人同意提供按照贵方可能要求的与我方投标有关的一切数据或资料，理解贵方不一定要接受最低价的投标或收到的任何投标。</w:t>
      </w:r>
    </w:p>
    <w:p>
      <w:pPr>
        <w:spacing w:line="480" w:lineRule="exact"/>
        <w:ind w:firstLine="420"/>
        <w:rPr>
          <w:rFonts w:hint="eastAsia" w:ascii="宋体" w:hAnsi="宋体" w:cs="宋体"/>
        </w:rPr>
      </w:pPr>
      <w:r>
        <w:rPr>
          <w:rFonts w:hint="eastAsia" w:ascii="宋体" w:hAnsi="宋体" w:cs="宋体"/>
        </w:rPr>
        <w:t>7．与本投标有关的一切正式往来通讯请寄：</w:t>
      </w:r>
    </w:p>
    <w:p>
      <w:pPr>
        <w:spacing w:line="480" w:lineRule="exact"/>
        <w:ind w:firstLine="420"/>
        <w:rPr>
          <w:rFonts w:hint="eastAsia" w:ascii="宋体" w:hAnsi="宋体" w:cs="宋体"/>
        </w:rPr>
      </w:pPr>
      <w:r>
        <w:rPr>
          <w:rFonts w:hint="eastAsia" w:ascii="宋体" w:hAnsi="宋体" w:cs="宋体"/>
        </w:rPr>
        <w:t>地址：</w:t>
      </w:r>
      <w:r>
        <w:rPr>
          <w:rFonts w:hint="eastAsia" w:ascii="宋体" w:hAnsi="宋体" w:cs="宋体"/>
        </w:rPr>
        <w:tab/>
      </w:r>
      <w:r>
        <w:rPr>
          <w:rFonts w:hint="eastAsia" w:ascii="宋体" w:hAnsi="宋体" w:cs="宋体"/>
        </w:rPr>
        <w:t xml:space="preserve">           </w:t>
      </w:r>
      <w:r>
        <w:rPr>
          <w:rFonts w:hint="eastAsia" w:ascii="宋体" w:hAnsi="宋体" w:cs="宋体"/>
        </w:rPr>
        <w:tab/>
      </w:r>
      <w:r>
        <w:rPr>
          <w:rFonts w:hint="eastAsia" w:ascii="宋体" w:hAnsi="宋体" w:cs="宋体"/>
        </w:rPr>
        <w:tab/>
      </w:r>
      <w:r>
        <w:rPr>
          <w:rFonts w:hint="eastAsia" w:ascii="宋体" w:hAnsi="宋体" w:cs="宋体"/>
        </w:rPr>
        <w:t xml:space="preserve">             邮编：</w:t>
      </w:r>
    </w:p>
    <w:p>
      <w:pPr>
        <w:spacing w:line="480" w:lineRule="exact"/>
        <w:ind w:firstLine="420"/>
        <w:rPr>
          <w:rFonts w:hint="eastAsia" w:ascii="宋体" w:hAnsi="宋体" w:cs="宋体"/>
        </w:rPr>
      </w:pPr>
      <w:r>
        <w:rPr>
          <w:rFonts w:hint="eastAsia" w:ascii="宋体" w:hAnsi="宋体" w:cs="宋体"/>
        </w:rPr>
        <w:t>电话：</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 xml:space="preserve">             传真：</w:t>
      </w:r>
    </w:p>
    <w:p>
      <w:pPr>
        <w:spacing w:line="480" w:lineRule="exact"/>
        <w:ind w:firstLine="420"/>
        <w:rPr>
          <w:rFonts w:hint="eastAsia" w:ascii="宋体" w:hAnsi="宋体" w:cs="宋体"/>
        </w:rPr>
      </w:pPr>
      <w:r>
        <w:rPr>
          <w:rFonts w:hint="eastAsia" w:ascii="宋体" w:hAnsi="宋体" w:cs="宋体"/>
        </w:rPr>
        <w:t>投标人代表姓名、职务：投标人名称：（加盖公章）</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p>
    <w:p>
      <w:pPr>
        <w:spacing w:line="480" w:lineRule="exact"/>
        <w:ind w:firstLine="420"/>
        <w:rPr>
          <w:rFonts w:hint="eastAsia" w:ascii="宋体" w:hAnsi="宋体" w:cs="宋体"/>
        </w:rPr>
      </w:pPr>
      <w:r>
        <w:rPr>
          <w:rFonts w:hint="eastAsia" w:ascii="宋体" w:hAnsi="宋体" w:cs="宋体"/>
        </w:rPr>
        <w:t>法定代表人签名或盖章（或其委托的全权代表人）：                     年   月    日</w:t>
      </w:r>
    </w:p>
    <w:p>
      <w:pPr>
        <w:spacing w:line="480" w:lineRule="exact"/>
        <w:ind w:firstLine="420" w:firstLineChars="200"/>
        <w:rPr>
          <w:rFonts w:hint="eastAsia" w:ascii="宋体" w:hAnsi="宋体" w:cs="宋体"/>
        </w:rPr>
      </w:pPr>
      <w:r>
        <w:rPr>
          <w:rFonts w:hint="eastAsia" w:ascii="宋体" w:hAnsi="宋体" w:cs="宋体"/>
        </w:rPr>
        <w:t>注：法定代表人委托全权代表人，需附法定代表人授权书。</w:t>
      </w:r>
    </w:p>
    <w:p>
      <w:pPr>
        <w:spacing w:line="360" w:lineRule="auto"/>
        <w:ind w:firstLine="420" w:firstLineChars="200"/>
        <w:rPr>
          <w:rFonts w:hint="eastAsia" w:ascii="宋体" w:hAnsi="宋体" w:cs="宋体"/>
        </w:rPr>
      </w:pPr>
    </w:p>
    <w:p>
      <w:pPr>
        <w:rPr>
          <w:rFonts w:hint="eastAsia" w:ascii="宋体" w:hAnsi="宋体" w:cs="宋体"/>
          <w:sz w:val="28"/>
          <w:szCs w:val="28"/>
        </w:rPr>
      </w:pPr>
      <w:r>
        <w:rPr>
          <w:rFonts w:hint="eastAsia" w:ascii="宋体" w:hAnsi="宋体" w:cs="宋体"/>
          <w:sz w:val="28"/>
          <w:szCs w:val="28"/>
        </w:rPr>
        <w:t>表5-4  法定代表人证明书/法定代表人授权书</w:t>
      </w:r>
      <w:bookmarkEnd w:id="50"/>
      <w:bookmarkEnd w:id="51"/>
      <w:bookmarkEnd w:id="52"/>
    </w:p>
    <w:p>
      <w:pPr>
        <w:pStyle w:val="25"/>
        <w:rPr>
          <w:rFonts w:hint="eastAsia" w:hAnsi="宋体" w:cs="宋体"/>
        </w:rPr>
      </w:pPr>
    </w:p>
    <w:p>
      <w:pPr>
        <w:spacing w:line="360" w:lineRule="auto"/>
        <w:ind w:firstLine="422" w:firstLineChars="200"/>
        <w:rPr>
          <w:rFonts w:hint="eastAsia" w:ascii="宋体" w:hAnsi="宋体" w:cs="宋体"/>
          <w:b/>
          <w:bCs/>
        </w:rPr>
      </w:pPr>
      <w:r>
        <w:rPr>
          <w:rFonts w:hint="eastAsia" w:ascii="宋体" w:hAnsi="宋体" w:cs="宋体"/>
          <w:b/>
          <w:bCs/>
        </w:rPr>
        <w:t>法定代表人证明书和法定代表人授权书按以下格式填写，如由法定代表人投标并签署投标文件，需提供法定代表人证明书，否则需提供法定代表人证明书和法定代表人授权书。</w:t>
      </w:r>
    </w:p>
    <w:p>
      <w:pPr>
        <w:pStyle w:val="7"/>
        <w:rPr>
          <w:rFonts w:hint="eastAsia" w:ascii="宋体" w:hAnsi="宋体" w:cs="宋体"/>
          <w:b/>
        </w:rPr>
      </w:pPr>
    </w:p>
    <w:p>
      <w:pPr>
        <w:spacing w:after="240" w:afterLines="100" w:line="500" w:lineRule="exact"/>
        <w:jc w:val="center"/>
        <w:rPr>
          <w:rFonts w:hint="eastAsia" w:ascii="宋体" w:hAnsi="宋体" w:cs="宋体"/>
          <w:b/>
          <w:bCs/>
          <w:sz w:val="28"/>
          <w:szCs w:val="28"/>
        </w:rPr>
      </w:pPr>
      <w:r>
        <w:rPr>
          <w:rFonts w:hint="eastAsia" w:ascii="宋体" w:hAnsi="宋体" w:cs="宋体"/>
          <w:b/>
          <w:bCs/>
          <w:sz w:val="28"/>
          <w:szCs w:val="28"/>
        </w:rPr>
        <w:t>法定代表人证明书</w:t>
      </w:r>
    </w:p>
    <w:p>
      <w:pPr>
        <w:spacing w:line="440" w:lineRule="exact"/>
        <w:ind w:firstLine="472" w:firstLineChars="225"/>
        <w:rPr>
          <w:rFonts w:hint="eastAsia" w:ascii="宋体" w:hAnsi="宋体" w:cs="宋体"/>
          <w:szCs w:val="21"/>
          <w:lang w:val="zh-CN"/>
        </w:rPr>
      </w:pPr>
      <w:r>
        <w:rPr>
          <w:rFonts w:hint="eastAsia" w:ascii="宋体" w:hAnsi="宋体" w:cs="宋体"/>
          <w:szCs w:val="21"/>
          <w:u w:val="single"/>
          <w:lang w:val="zh-CN"/>
        </w:rPr>
        <w:t xml:space="preserve">    　　 　  </w:t>
      </w:r>
      <w:r>
        <w:rPr>
          <w:rFonts w:hint="eastAsia" w:ascii="宋体" w:hAnsi="宋体" w:cs="宋体"/>
          <w:szCs w:val="21"/>
          <w:lang w:val="zh-CN"/>
        </w:rPr>
        <w:t>同志现任我单位</w:t>
      </w:r>
      <w:r>
        <w:rPr>
          <w:rFonts w:hint="eastAsia" w:ascii="宋体" w:hAnsi="宋体" w:cs="宋体"/>
          <w:szCs w:val="21"/>
          <w:u w:val="single"/>
          <w:lang w:val="zh-CN"/>
        </w:rPr>
        <w:t xml:space="preserve">             </w:t>
      </w:r>
      <w:r>
        <w:rPr>
          <w:rFonts w:hint="eastAsia" w:ascii="宋体" w:hAnsi="宋体" w:cs="宋体"/>
          <w:szCs w:val="21"/>
          <w:lang w:val="zh-CN"/>
        </w:rPr>
        <w:t>职务，为法定代表人，特此证明。</w:t>
      </w:r>
    </w:p>
    <w:p>
      <w:pPr>
        <w:spacing w:line="440" w:lineRule="exact"/>
        <w:ind w:firstLine="472" w:firstLineChars="225"/>
        <w:rPr>
          <w:rFonts w:hint="eastAsia" w:ascii="宋体" w:hAnsi="宋体" w:cs="宋体"/>
          <w:szCs w:val="21"/>
          <w:lang w:val="zh-CN"/>
        </w:rPr>
      </w:pP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附：法定代表人性别：      年龄：      身份证号码：</w:t>
      </w: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营业执照号码：</w:t>
      </w: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主营：</w:t>
      </w: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兼营：</w:t>
      </w: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有效日期：           签发日期：           单位：（盖章）</w:t>
      </w:r>
    </w:p>
    <w:p>
      <w:pPr>
        <w:spacing w:line="440" w:lineRule="exact"/>
        <w:ind w:firstLine="472" w:firstLineChars="225"/>
        <w:rPr>
          <w:rFonts w:hint="eastAsia" w:ascii="宋体" w:hAnsi="宋体" w:cs="宋体"/>
          <w:szCs w:val="21"/>
          <w:lang w:val="zh-CN"/>
        </w:rPr>
      </w:pPr>
    </w:p>
    <w:p>
      <w:pPr>
        <w:tabs>
          <w:tab w:val="left" w:pos="540"/>
        </w:tabs>
        <w:spacing w:line="380" w:lineRule="exact"/>
        <w:rPr>
          <w:rFonts w:hint="eastAsia" w:ascii="宋体" w:hAnsi="宋体" w:cs="宋体"/>
          <w:szCs w:val="21"/>
          <w:lang w:val="zh-CN"/>
        </w:rPr>
      </w:pPr>
      <w:r>
        <w:rPr>
          <w:rFonts w:hint="eastAsia" w:ascii="宋体" w:hAnsi="宋体" w:cs="宋体"/>
          <w:szCs w:val="21"/>
          <w:lang w:val="zh-CN"/>
        </w:rPr>
        <w:t>说明：1、法定代表人为企业事业单位、国家机关、社会团体的主要行政负责人。</w:t>
      </w:r>
    </w:p>
    <w:p>
      <w:pPr>
        <w:tabs>
          <w:tab w:val="left" w:pos="540"/>
        </w:tabs>
        <w:spacing w:line="380" w:lineRule="exact"/>
        <w:ind w:left="987" w:leftChars="300" w:hanging="357" w:hangingChars="170"/>
        <w:rPr>
          <w:rFonts w:hint="eastAsia" w:ascii="宋体" w:hAnsi="宋体" w:cs="宋体"/>
          <w:szCs w:val="21"/>
          <w:lang w:val="zh-CN"/>
        </w:rPr>
      </w:pPr>
      <w:r>
        <w:rPr>
          <w:rFonts w:hint="eastAsia" w:ascii="宋体" w:hAnsi="宋体" w:cs="宋体"/>
          <w:szCs w:val="21"/>
          <w:lang w:val="zh-CN"/>
        </w:rPr>
        <w:t>2、内容必须填写真实、清楚，不得转让、买卖。</w:t>
      </w:r>
    </w:p>
    <w:p>
      <w:pPr>
        <w:spacing w:line="380" w:lineRule="exact"/>
        <w:ind w:left="420" w:leftChars="200" w:firstLine="210" w:firstLineChars="100"/>
        <w:rPr>
          <w:rFonts w:hint="eastAsia" w:ascii="宋体" w:hAnsi="宋体" w:cs="宋体"/>
          <w:szCs w:val="21"/>
        </w:rPr>
      </w:pPr>
      <w:r>
        <w:rPr>
          <w:rFonts w:hint="eastAsia" w:ascii="宋体" w:hAnsi="宋体" w:cs="宋体"/>
          <w:szCs w:val="21"/>
          <w:lang w:val="zh-CN"/>
        </w:rPr>
        <w:t>3、将此证明书提交对方作为合同附件或凭证。</w:t>
      </w:r>
    </w:p>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tbl>
      <w:tblPr>
        <w:tblStyle w:val="55"/>
        <w:tblW w:w="5760" w:type="dxa"/>
        <w:tblInd w:w="1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trPr>
        <w:tc>
          <w:tcPr>
            <w:tcW w:w="5760" w:type="dxa"/>
            <w:vAlign w:val="top"/>
          </w:tcPr>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1785" w:firstLineChars="850"/>
              <w:rPr>
                <w:rFonts w:hint="eastAsia" w:ascii="宋体" w:hAnsi="宋体" w:cs="宋体"/>
                <w:szCs w:val="21"/>
                <w:lang w:val="zh-CN"/>
              </w:rPr>
            </w:pPr>
            <w:r>
              <w:rPr>
                <w:rFonts w:hint="eastAsia" w:ascii="宋体" w:hAnsi="宋体" w:cs="宋体"/>
                <w:szCs w:val="21"/>
                <w:lang w:val="zh-CN"/>
              </w:rPr>
              <w:t>法定代表人身份证复印件</w:t>
            </w: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rPr>
                <w:rFonts w:hint="eastAsia" w:ascii="宋体" w:hAnsi="宋体" w:cs="宋体"/>
                <w:szCs w:val="21"/>
                <w:lang w:val="zh-CN"/>
              </w:rPr>
            </w:pPr>
            <w:r>
              <w:rPr>
                <w:rFonts w:hint="eastAsia" w:ascii="宋体" w:hAnsi="宋体" w:cs="宋体"/>
                <w:szCs w:val="21"/>
                <w:lang w:val="zh-CN"/>
              </w:rPr>
              <w:t xml:space="preserve">       </w:t>
            </w:r>
          </w:p>
        </w:tc>
      </w:tr>
    </w:tbl>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p>
      <w:pPr>
        <w:pStyle w:val="7"/>
        <w:ind w:left="0" w:leftChars="0" w:firstLine="0" w:firstLineChars="0"/>
        <w:jc w:val="center"/>
        <w:rPr>
          <w:rFonts w:hint="eastAsia" w:ascii="宋体" w:hAnsi="宋体" w:cs="宋体"/>
          <w:b/>
        </w:rPr>
      </w:pPr>
      <w:r>
        <w:rPr>
          <w:rFonts w:hint="eastAsia" w:ascii="宋体" w:hAnsi="宋体" w:cs="宋体"/>
          <w:b/>
          <w:sz w:val="30"/>
        </w:rPr>
        <w:t>法定代表人授权书</w:t>
      </w:r>
    </w:p>
    <w:p>
      <w:pPr>
        <w:pStyle w:val="25"/>
        <w:spacing w:line="600" w:lineRule="exact"/>
        <w:rPr>
          <w:rFonts w:hint="eastAsia" w:hAnsi="宋体" w:cs="宋体"/>
          <w:bCs/>
        </w:rPr>
      </w:pPr>
    </w:p>
    <w:p>
      <w:pPr>
        <w:pStyle w:val="25"/>
        <w:spacing w:line="600" w:lineRule="exact"/>
        <w:rPr>
          <w:rFonts w:hint="eastAsia" w:hAnsi="宋体" w:eastAsia="宋体" w:cs="宋体"/>
          <w:b/>
          <w:bCs/>
          <w:lang w:eastAsia="zh-CN"/>
        </w:rPr>
      </w:pPr>
      <w:r>
        <w:rPr>
          <w:rFonts w:hint="eastAsia" w:hAnsi="宋体" w:cs="宋体"/>
          <w:b/>
          <w:bCs/>
        </w:rPr>
        <w:t xml:space="preserve">致: </w:t>
      </w:r>
      <w:r>
        <w:rPr>
          <w:rFonts w:hint="eastAsia" w:hAnsi="宋体" w:cs="宋体"/>
          <w:b/>
          <w:bCs/>
          <w:sz w:val="21"/>
          <w:szCs w:val="22"/>
          <w:lang w:eastAsia="zh-CN"/>
        </w:rPr>
        <w:t>华联世纪工程咨询股份有限公司中山分公司</w:t>
      </w:r>
    </w:p>
    <w:p>
      <w:pPr>
        <w:pStyle w:val="25"/>
        <w:spacing w:line="600" w:lineRule="exact"/>
        <w:ind w:firstLine="420" w:firstLineChars="200"/>
        <w:rPr>
          <w:rFonts w:hint="eastAsia" w:hAnsi="宋体" w:cs="宋体"/>
        </w:rPr>
      </w:pPr>
      <w:r>
        <w:rPr>
          <w:rFonts w:hint="eastAsia" w:hAnsi="宋体" w:cs="宋体"/>
        </w:rPr>
        <w:t>本授权书声明：</w:t>
      </w:r>
      <w:r>
        <w:rPr>
          <w:rFonts w:hint="eastAsia" w:hAnsi="宋体" w:cs="宋体"/>
          <w:u w:val="single"/>
        </w:rPr>
        <w:t xml:space="preserve">                        </w:t>
      </w:r>
      <w:r>
        <w:rPr>
          <w:rFonts w:hint="eastAsia" w:hAnsi="宋体" w:cs="宋体"/>
        </w:rPr>
        <w:t xml:space="preserve">（投标人名称）的在下面签字的 </w:t>
      </w:r>
      <w:r>
        <w:rPr>
          <w:rFonts w:hint="eastAsia" w:hAnsi="宋体" w:cs="宋体"/>
          <w:u w:val="single"/>
        </w:rPr>
        <w:t xml:space="preserve">                                </w:t>
      </w:r>
      <w:r>
        <w:rPr>
          <w:rFonts w:hint="eastAsia" w:hAnsi="宋体" w:cs="宋体"/>
        </w:rPr>
        <w:t>（法定代表人或负责人姓名、职务）代表本公司授权在下面签字的</w:t>
      </w:r>
      <w:r>
        <w:rPr>
          <w:rFonts w:hint="eastAsia" w:hAnsi="宋体" w:cs="宋体"/>
          <w:u w:val="single"/>
        </w:rPr>
        <w:t xml:space="preserve">                 </w:t>
      </w:r>
      <w:r>
        <w:rPr>
          <w:rFonts w:hint="eastAsia" w:hAnsi="宋体" w:cs="宋体"/>
        </w:rPr>
        <w:t>（被授权人的姓名、职务）为本公司的合法代表人，就</w:t>
      </w:r>
      <w:r>
        <w:rPr>
          <w:rFonts w:hint="eastAsia" w:hAnsi="宋体" w:cs="宋体"/>
          <w:lang w:eastAsia="zh-CN"/>
        </w:rPr>
        <w:t>华联世纪工程咨询股份有限公司中山分公司</w:t>
      </w:r>
      <w:r>
        <w:rPr>
          <w:rFonts w:hint="eastAsia" w:hAnsi="宋体" w:cs="宋体"/>
        </w:rPr>
        <w:t>组织的</w:t>
      </w:r>
      <w:r>
        <w:rPr>
          <w:rFonts w:hint="eastAsia" w:ascii="宋体" w:hAnsi="宋体" w:cs="宋体"/>
          <w:szCs w:val="21"/>
          <w:u w:val="single"/>
        </w:rPr>
        <w:t>坦洲镇污水处理厂消毒剂采购项目</w:t>
      </w:r>
      <w:r>
        <w:rPr>
          <w:rFonts w:hint="eastAsia" w:ascii="宋体" w:hAnsi="宋体" w:cs="宋体"/>
        </w:rPr>
        <w:t>(项目编号：</w:t>
      </w:r>
      <w:r>
        <w:rPr>
          <w:rFonts w:hint="eastAsia" w:hAnsi="宋体" w:cs="宋体"/>
          <w:szCs w:val="21"/>
          <w:u w:val="single"/>
          <w:lang w:eastAsia="zh-CN"/>
        </w:rPr>
        <w:t>HLSJZSCG-20181229</w:t>
      </w:r>
      <w:r>
        <w:rPr>
          <w:rFonts w:hint="eastAsia" w:ascii="宋体" w:hAnsi="宋体" w:cs="宋体"/>
        </w:rPr>
        <w:t>)</w:t>
      </w:r>
      <w:r>
        <w:rPr>
          <w:rFonts w:hint="eastAsia" w:hAnsi="宋体" w:cs="宋体"/>
        </w:rPr>
        <w:t>的投标和合同执行，以我方的名义处理一切与之有关的事宜。</w:t>
      </w:r>
    </w:p>
    <w:p>
      <w:pPr>
        <w:spacing w:line="600" w:lineRule="exact"/>
        <w:ind w:firstLine="420" w:firstLineChars="200"/>
        <w:rPr>
          <w:rFonts w:hint="eastAsia" w:ascii="宋体" w:hAnsi="宋体" w:cs="宋体"/>
          <w:szCs w:val="21"/>
        </w:rPr>
      </w:pPr>
      <w:r>
        <w:rPr>
          <w:rFonts w:hint="eastAsia" w:ascii="宋体" w:hAnsi="宋体" w:cs="宋体"/>
          <w:szCs w:val="21"/>
        </w:rPr>
        <w:t>本授权书于       年    月    日签字生效，有效期至      年    月    日。特此声明。</w:t>
      </w:r>
    </w:p>
    <w:p>
      <w:pPr>
        <w:tabs>
          <w:tab w:val="left" w:pos="3780"/>
        </w:tabs>
        <w:spacing w:line="600" w:lineRule="exact"/>
        <w:ind w:left="4410"/>
        <w:rPr>
          <w:rFonts w:hint="eastAsia" w:ascii="宋体" w:hAnsi="宋体" w:cs="宋体"/>
          <w:szCs w:val="21"/>
        </w:rPr>
      </w:pPr>
    </w:p>
    <w:p>
      <w:pPr>
        <w:tabs>
          <w:tab w:val="left" w:pos="3780"/>
        </w:tabs>
        <w:spacing w:line="600" w:lineRule="exact"/>
        <w:ind w:left="4410"/>
        <w:rPr>
          <w:rFonts w:hint="eastAsia" w:ascii="宋体" w:hAnsi="宋体" w:cs="宋体"/>
          <w:szCs w:val="21"/>
        </w:rPr>
      </w:pPr>
      <w:r>
        <w:rPr>
          <w:rFonts w:hint="eastAsia" w:ascii="宋体" w:hAnsi="宋体" w:cs="宋体"/>
          <w:szCs w:val="21"/>
        </w:rPr>
        <w:t>投标人名称（加盖公章）：</w:t>
      </w:r>
    </w:p>
    <w:p>
      <w:pPr>
        <w:tabs>
          <w:tab w:val="left" w:pos="3780"/>
        </w:tabs>
        <w:spacing w:line="600" w:lineRule="exact"/>
        <w:ind w:left="4410"/>
        <w:rPr>
          <w:rFonts w:hint="eastAsia" w:ascii="宋体" w:hAnsi="宋体" w:cs="宋体"/>
          <w:szCs w:val="21"/>
        </w:rPr>
      </w:pPr>
      <w:r>
        <w:rPr>
          <w:rFonts w:hint="eastAsia" w:ascii="宋体" w:hAnsi="宋体" w:cs="宋体"/>
          <w:szCs w:val="21"/>
        </w:rPr>
        <w:t>法定代表人</w:t>
      </w:r>
      <w:r>
        <w:rPr>
          <w:rFonts w:hint="eastAsia" w:ascii="宋体" w:hAnsi="宋体" w:cs="宋体"/>
        </w:rPr>
        <w:t>（负责人）</w:t>
      </w:r>
      <w:r>
        <w:rPr>
          <w:rFonts w:hint="eastAsia" w:ascii="宋体" w:hAnsi="宋体" w:cs="宋体"/>
          <w:szCs w:val="21"/>
        </w:rPr>
        <w:t>（签名或盖章）：</w:t>
      </w:r>
    </w:p>
    <w:p>
      <w:pPr>
        <w:spacing w:line="600" w:lineRule="exact"/>
        <w:ind w:left="4410"/>
        <w:rPr>
          <w:rFonts w:hint="eastAsia" w:ascii="宋体" w:hAnsi="宋体" w:cs="宋体"/>
          <w:szCs w:val="21"/>
        </w:rPr>
      </w:pPr>
      <w:r>
        <w:rPr>
          <w:rFonts w:hint="eastAsia" w:ascii="宋体" w:hAnsi="宋体" w:cs="宋体"/>
          <w:spacing w:val="20"/>
          <w:szCs w:val="21"/>
        </w:rPr>
        <w:t>被授权人（</w:t>
      </w:r>
      <w:r>
        <w:rPr>
          <w:rFonts w:hint="eastAsia" w:ascii="宋体" w:hAnsi="宋体" w:cs="宋体"/>
          <w:szCs w:val="21"/>
        </w:rPr>
        <w:t>签名或盖章</w:t>
      </w:r>
      <w:r>
        <w:rPr>
          <w:rFonts w:hint="eastAsia" w:ascii="宋体" w:hAnsi="宋体" w:cs="宋体"/>
          <w:spacing w:val="20"/>
          <w:szCs w:val="21"/>
        </w:rPr>
        <w:t>）</w:t>
      </w:r>
      <w:r>
        <w:rPr>
          <w:rFonts w:hint="eastAsia" w:ascii="宋体" w:hAnsi="宋体" w:cs="宋体"/>
          <w:szCs w:val="21"/>
        </w:rPr>
        <w:t>：</w:t>
      </w:r>
    </w:p>
    <w:p>
      <w:pPr>
        <w:tabs>
          <w:tab w:val="left" w:pos="2041"/>
          <w:tab w:val="left" w:pos="3600"/>
          <w:tab w:val="left" w:pos="3780"/>
        </w:tabs>
        <w:spacing w:line="600" w:lineRule="exact"/>
        <w:ind w:left="4410"/>
        <w:rPr>
          <w:rFonts w:hint="eastAsia" w:ascii="宋体" w:hAnsi="宋体" w:cs="宋体"/>
          <w:szCs w:val="21"/>
        </w:rPr>
      </w:pPr>
      <w:r>
        <w:rPr>
          <w:rFonts w:hint="eastAsia" w:ascii="宋体" w:hAnsi="宋体" w:cs="宋体"/>
          <w:szCs w:val="21"/>
        </w:rPr>
        <w:t>职    务：</w:t>
      </w:r>
    </w:p>
    <w:tbl>
      <w:tblPr>
        <w:tblStyle w:val="55"/>
        <w:tblW w:w="5760" w:type="dxa"/>
        <w:tblInd w:w="1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trPr>
        <w:tc>
          <w:tcPr>
            <w:tcW w:w="5760" w:type="dxa"/>
            <w:vAlign w:val="top"/>
          </w:tcPr>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1799" w:firstLineChars="857"/>
              <w:rPr>
                <w:rFonts w:hint="eastAsia" w:ascii="宋体" w:hAnsi="宋体" w:cs="宋体"/>
                <w:szCs w:val="21"/>
                <w:lang w:val="zh-CN"/>
              </w:rPr>
            </w:pPr>
            <w:r>
              <w:rPr>
                <w:rFonts w:hint="eastAsia" w:ascii="宋体" w:hAnsi="宋体" w:cs="宋体"/>
                <w:szCs w:val="21"/>
                <w:lang w:val="zh-CN"/>
              </w:rPr>
              <w:t>被授权人身份证复印件</w:t>
            </w: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rPr>
                <w:rFonts w:hint="eastAsia" w:ascii="宋体" w:hAnsi="宋体" w:cs="宋体"/>
                <w:szCs w:val="21"/>
                <w:lang w:val="zh-CN"/>
              </w:rPr>
            </w:pPr>
            <w:r>
              <w:rPr>
                <w:rFonts w:hint="eastAsia" w:ascii="宋体" w:hAnsi="宋体" w:cs="宋体"/>
                <w:szCs w:val="21"/>
                <w:lang w:val="zh-CN"/>
              </w:rPr>
              <w:t xml:space="preserve">       </w:t>
            </w:r>
          </w:p>
        </w:tc>
      </w:tr>
    </w:tbl>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tabs>
          <w:tab w:val="left" w:pos="2041"/>
          <w:tab w:val="left" w:pos="3600"/>
          <w:tab w:val="left" w:pos="3780"/>
        </w:tabs>
        <w:spacing w:line="600" w:lineRule="exact"/>
        <w:ind w:leftChars="-2100" w:hanging="4410" w:hangingChars="2100"/>
        <w:jc w:val="center"/>
        <w:rPr>
          <w:rFonts w:hint="eastAsia" w:ascii="宋体" w:hAnsi="宋体" w:cs="宋体"/>
          <w:szCs w:val="21"/>
        </w:rPr>
      </w:pPr>
    </w:p>
    <w:p>
      <w:pPr>
        <w:autoSpaceDE w:val="0"/>
        <w:autoSpaceDN w:val="0"/>
        <w:adjustRightInd w:val="0"/>
        <w:spacing w:line="360" w:lineRule="exact"/>
        <w:ind w:firstLine="644" w:firstLineChars="307"/>
        <w:rPr>
          <w:rFonts w:hint="eastAsia" w:ascii="宋体" w:hAnsi="宋体" w:cs="宋体"/>
          <w:szCs w:val="21"/>
          <w:lang w:val="zh-CN"/>
        </w:rPr>
      </w:pPr>
    </w:p>
    <w:p>
      <w:pPr>
        <w:rPr>
          <w:rFonts w:hint="eastAsia" w:ascii="宋体" w:hAnsi="宋体" w:cs="宋体"/>
          <w:sz w:val="28"/>
          <w:szCs w:val="28"/>
        </w:rPr>
      </w:pPr>
      <w:bookmarkStart w:id="53" w:name="_Toc421205757"/>
      <w:bookmarkStart w:id="54" w:name="_Toc421004194"/>
      <w:bookmarkStart w:id="55" w:name="_Toc420684760"/>
      <w:r>
        <w:rPr>
          <w:rFonts w:hint="eastAsia" w:ascii="宋体" w:hAnsi="宋体" w:cs="宋体"/>
          <w:sz w:val="28"/>
          <w:szCs w:val="28"/>
        </w:rPr>
        <w:t>表5-5  商务条款偏离表</w:t>
      </w:r>
      <w:bookmarkEnd w:id="53"/>
      <w:bookmarkEnd w:id="54"/>
      <w:bookmarkEnd w:id="55"/>
    </w:p>
    <w:p>
      <w:pPr>
        <w:spacing w:line="500" w:lineRule="exact"/>
        <w:ind w:firstLine="210" w:firstLineChars="100"/>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tbl>
      <w:tblPr>
        <w:tblStyle w:val="55"/>
        <w:tblW w:w="910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2316"/>
        <w:gridCol w:w="2316"/>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vAlign w:val="top"/>
          </w:tcPr>
          <w:p>
            <w:pPr>
              <w:spacing w:line="360" w:lineRule="auto"/>
              <w:jc w:val="center"/>
              <w:rPr>
                <w:rFonts w:hint="eastAsia" w:ascii="宋体" w:hAnsi="宋体" w:cs="宋体"/>
                <w:szCs w:val="21"/>
              </w:rPr>
            </w:pPr>
            <w:r>
              <w:rPr>
                <w:rFonts w:hint="eastAsia" w:ascii="宋体" w:hAnsi="宋体" w:cs="宋体"/>
                <w:szCs w:val="21"/>
              </w:rPr>
              <w:t>招标文件条目号</w:t>
            </w:r>
          </w:p>
        </w:tc>
        <w:tc>
          <w:tcPr>
            <w:tcW w:w="2316" w:type="dxa"/>
            <w:vAlign w:val="top"/>
          </w:tcPr>
          <w:p>
            <w:pPr>
              <w:spacing w:line="360" w:lineRule="auto"/>
              <w:jc w:val="center"/>
              <w:rPr>
                <w:rFonts w:hint="eastAsia" w:ascii="宋体" w:hAnsi="宋体" w:cs="宋体"/>
                <w:szCs w:val="21"/>
              </w:rPr>
            </w:pPr>
            <w:r>
              <w:rPr>
                <w:rFonts w:hint="eastAsia" w:ascii="宋体" w:hAnsi="宋体" w:cs="宋体"/>
                <w:szCs w:val="21"/>
              </w:rPr>
              <w:t>招标文件商务条款</w:t>
            </w:r>
          </w:p>
        </w:tc>
        <w:tc>
          <w:tcPr>
            <w:tcW w:w="2316" w:type="dxa"/>
            <w:vAlign w:val="top"/>
          </w:tcPr>
          <w:p>
            <w:pPr>
              <w:spacing w:line="360" w:lineRule="auto"/>
              <w:jc w:val="center"/>
              <w:rPr>
                <w:rFonts w:hint="eastAsia" w:ascii="宋体" w:hAnsi="宋体" w:cs="宋体"/>
                <w:szCs w:val="21"/>
              </w:rPr>
            </w:pPr>
            <w:r>
              <w:rPr>
                <w:rFonts w:hint="eastAsia" w:ascii="宋体" w:hAnsi="宋体" w:cs="宋体"/>
                <w:szCs w:val="21"/>
              </w:rPr>
              <w:t>投标文件商务条款</w:t>
            </w:r>
          </w:p>
        </w:tc>
        <w:tc>
          <w:tcPr>
            <w:tcW w:w="2009" w:type="dxa"/>
            <w:vAlign w:val="top"/>
          </w:tcPr>
          <w:p>
            <w:pPr>
              <w:spacing w:line="360" w:lineRule="auto"/>
              <w:jc w:val="cente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vAlign w:val="top"/>
          </w:tcPr>
          <w:p>
            <w:pPr>
              <w:spacing w:line="360" w:lineRule="auto"/>
              <w:jc w:val="center"/>
              <w:rPr>
                <w:rFonts w:hint="eastAsia" w:ascii="宋体" w:hAnsi="宋体" w:cs="宋体"/>
                <w:szCs w:val="21"/>
              </w:rPr>
            </w:pPr>
            <w:r>
              <w:rPr>
                <w:rFonts w:hint="eastAsia" w:ascii="宋体" w:hAnsi="宋体" w:cs="宋体"/>
              </w:rPr>
              <w:t>……</w:t>
            </w: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bl>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注：1、请在上表填写与招标文件要求有差异的内容，包括优于/差于/等于招标文件的要求；</w:t>
      </w:r>
    </w:p>
    <w:p>
      <w:pPr>
        <w:spacing w:line="360" w:lineRule="auto"/>
        <w:ind w:left="741" w:leftChars="200" w:hanging="321" w:hangingChars="153"/>
        <w:rPr>
          <w:rFonts w:hint="eastAsia" w:ascii="宋体" w:hAnsi="宋体" w:cs="宋体"/>
          <w:szCs w:val="21"/>
        </w:rPr>
      </w:pPr>
      <w:r>
        <w:rPr>
          <w:rFonts w:hint="eastAsia" w:ascii="宋体" w:hAnsi="宋体" w:cs="宋体"/>
          <w:szCs w:val="21"/>
        </w:rPr>
        <w:t>2、如果与招标文件完全没有差异，此表填写全部响应，此时将被视为完全响应招标文件中所给出的关于该项目的全部指标。</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500" w:lineRule="exact"/>
        <w:ind w:firstLine="4725" w:firstLineChars="2250"/>
        <w:rPr>
          <w:rFonts w:hint="eastAsia" w:ascii="宋体" w:hAnsi="宋体" w:cs="宋体"/>
          <w:szCs w:val="21"/>
        </w:rPr>
      </w:pPr>
    </w:p>
    <w:p>
      <w:pPr>
        <w:spacing w:line="500" w:lineRule="exact"/>
        <w:ind w:firstLine="4725" w:firstLineChars="2250"/>
        <w:rPr>
          <w:rFonts w:hint="eastAsia" w:ascii="宋体" w:hAnsi="宋体" w:cs="宋体"/>
          <w:szCs w:val="21"/>
        </w:rPr>
      </w:pPr>
    </w:p>
    <w:p>
      <w:pPr>
        <w:spacing w:line="5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500" w:lineRule="exact"/>
        <w:ind w:firstLine="4725" w:firstLineChars="2250"/>
        <w:rPr>
          <w:rFonts w:hint="eastAsia" w:ascii="宋体" w:hAnsi="宋体" w:cs="宋体"/>
          <w:szCs w:val="21"/>
        </w:rPr>
      </w:pPr>
      <w:r>
        <w:rPr>
          <w:rFonts w:hint="eastAsia" w:ascii="宋体" w:hAnsi="宋体" w:cs="宋体"/>
        </w:rPr>
        <w:t xml:space="preserve"> </w:t>
      </w:r>
    </w:p>
    <w:p>
      <w:pPr>
        <w:spacing w:line="360" w:lineRule="auto"/>
        <w:ind w:firstLine="3570" w:firstLineChars="1700"/>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rPr>
          <w:rFonts w:hint="eastAsia" w:ascii="宋体" w:hAnsi="宋体" w:cs="宋体"/>
        </w:rPr>
      </w:pPr>
      <w:bookmarkStart w:id="56" w:name="_Toc420684761"/>
      <w:bookmarkStart w:id="57" w:name="_Toc421205758"/>
      <w:bookmarkStart w:id="58" w:name="_Toc421004195"/>
      <w:r>
        <w:rPr>
          <w:rFonts w:hint="eastAsia" w:ascii="宋体" w:hAnsi="宋体" w:cs="宋体"/>
          <w:sz w:val="28"/>
          <w:szCs w:val="28"/>
        </w:rPr>
        <w:t>表5-6　重要指标响应表</w:t>
      </w:r>
      <w:bookmarkEnd w:id="56"/>
      <w:bookmarkEnd w:id="57"/>
      <w:bookmarkEnd w:id="58"/>
    </w:p>
    <w:p>
      <w:pPr>
        <w:pStyle w:val="7"/>
        <w:spacing w:line="360" w:lineRule="auto"/>
        <w:ind w:firstLine="0"/>
        <w:rPr>
          <w:rFonts w:hint="eastAsia" w:ascii="宋体" w:hAnsi="宋体" w:cs="宋体"/>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tbl>
      <w:tblPr>
        <w:tblStyle w:val="55"/>
        <w:tblW w:w="956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7"/>
        <w:gridCol w:w="958"/>
        <w:gridCol w:w="637"/>
        <w:gridCol w:w="3187"/>
        <w:gridCol w:w="286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9" w:hRule="atLeast"/>
        </w:trPr>
        <w:tc>
          <w:tcPr>
            <w:tcW w:w="637"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szCs w:val="21"/>
              </w:rPr>
            </w:pPr>
            <w:r>
              <w:rPr>
                <w:rFonts w:hint="eastAsia" w:ascii="宋体" w:hAnsi="宋体" w:cs="宋体"/>
                <w:b/>
                <w:szCs w:val="21"/>
              </w:rPr>
              <w:t>序号</w:t>
            </w:r>
          </w:p>
        </w:tc>
        <w:tc>
          <w:tcPr>
            <w:tcW w:w="958"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szCs w:val="21"/>
              </w:rPr>
            </w:pPr>
            <w:r>
              <w:rPr>
                <w:rFonts w:hint="eastAsia" w:ascii="宋体" w:hAnsi="宋体" w:cs="宋体"/>
                <w:b/>
                <w:szCs w:val="21"/>
              </w:rPr>
              <w:t>招标文件页数</w:t>
            </w:r>
          </w:p>
        </w:tc>
        <w:tc>
          <w:tcPr>
            <w:tcW w:w="637"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szCs w:val="21"/>
              </w:rPr>
            </w:pPr>
            <w:r>
              <w:rPr>
                <w:rFonts w:hint="eastAsia" w:ascii="宋体" w:hAnsi="宋体" w:cs="宋体"/>
                <w:b/>
                <w:bCs/>
                <w:szCs w:val="21"/>
              </w:rPr>
              <w:t>节/段</w:t>
            </w:r>
          </w:p>
        </w:tc>
        <w:tc>
          <w:tcPr>
            <w:tcW w:w="3187"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招标要求（内容提要）</w:t>
            </w:r>
          </w:p>
        </w:tc>
        <w:tc>
          <w:tcPr>
            <w:tcW w:w="2869"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投标人应答</w:t>
            </w:r>
          </w:p>
        </w:tc>
        <w:tc>
          <w:tcPr>
            <w:tcW w:w="1275"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trPr>
        <w:tc>
          <w:tcPr>
            <w:tcW w:w="637" w:type="dxa"/>
            <w:tcBorders>
              <w:top w:val="single" w:color="auto" w:sz="6" w:space="0"/>
            </w:tcBorders>
            <w:vAlign w:val="center"/>
          </w:tcPr>
          <w:p>
            <w:pPr>
              <w:spacing w:before="156" w:after="156" w:line="400" w:lineRule="exact"/>
              <w:rPr>
                <w:rFonts w:hint="eastAsia" w:ascii="宋体" w:hAnsi="宋体" w:cs="宋体"/>
              </w:rPr>
            </w:pPr>
            <w:r>
              <w:rPr>
                <w:rFonts w:hint="eastAsia" w:ascii="宋体" w:hAnsi="宋体" w:cs="宋体"/>
              </w:rPr>
              <w:t> </w:t>
            </w:r>
          </w:p>
        </w:tc>
        <w:tc>
          <w:tcPr>
            <w:tcW w:w="958" w:type="dxa"/>
            <w:tcBorders>
              <w:top w:val="single" w:color="auto" w:sz="6" w:space="0"/>
            </w:tcBorders>
            <w:vAlign w:val="center"/>
          </w:tcPr>
          <w:p>
            <w:pPr>
              <w:spacing w:before="156" w:after="156" w:line="400" w:lineRule="exact"/>
              <w:rPr>
                <w:rFonts w:hint="eastAsia" w:ascii="宋体" w:hAnsi="宋体" w:cs="宋体"/>
              </w:rPr>
            </w:pPr>
          </w:p>
        </w:tc>
        <w:tc>
          <w:tcPr>
            <w:tcW w:w="637" w:type="dxa"/>
            <w:tcBorders>
              <w:top w:val="single" w:color="auto" w:sz="6" w:space="0"/>
            </w:tcBorders>
            <w:vAlign w:val="center"/>
          </w:tcPr>
          <w:p>
            <w:pPr>
              <w:spacing w:before="156" w:after="156" w:line="400" w:lineRule="exact"/>
              <w:rPr>
                <w:rFonts w:hint="eastAsia" w:ascii="宋体" w:hAnsi="宋体" w:cs="宋体"/>
              </w:rPr>
            </w:pPr>
            <w:r>
              <w:rPr>
                <w:rFonts w:hint="eastAsia" w:ascii="宋体" w:hAnsi="宋体" w:cs="宋体"/>
              </w:rPr>
              <w:t> </w:t>
            </w:r>
          </w:p>
        </w:tc>
        <w:tc>
          <w:tcPr>
            <w:tcW w:w="3187" w:type="dxa"/>
            <w:tcBorders>
              <w:top w:val="single" w:color="auto" w:sz="6" w:space="0"/>
            </w:tcBorders>
            <w:vAlign w:val="center"/>
          </w:tcPr>
          <w:p>
            <w:pPr>
              <w:spacing w:before="156" w:after="156" w:line="400" w:lineRule="exact"/>
              <w:rPr>
                <w:rFonts w:hint="eastAsia" w:ascii="宋体" w:hAnsi="宋体" w:cs="宋体"/>
              </w:rPr>
            </w:pPr>
            <w:r>
              <w:rPr>
                <w:rFonts w:hint="eastAsia" w:ascii="宋体" w:hAnsi="宋体" w:cs="宋体"/>
              </w:rPr>
              <w:t> </w:t>
            </w:r>
          </w:p>
        </w:tc>
        <w:tc>
          <w:tcPr>
            <w:tcW w:w="2869" w:type="dxa"/>
            <w:tcBorders>
              <w:top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75" w:type="dxa"/>
            <w:tcBorders>
              <w:top w:val="single" w:color="auto" w:sz="6" w:space="0"/>
            </w:tcBorders>
            <w:vAlign w:val="center"/>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trPr>
        <w:tc>
          <w:tcPr>
            <w:tcW w:w="637" w:type="dxa"/>
            <w:vAlign w:val="center"/>
          </w:tcPr>
          <w:p>
            <w:pPr>
              <w:spacing w:before="156" w:after="156" w:line="400" w:lineRule="exact"/>
              <w:rPr>
                <w:rFonts w:hint="eastAsia" w:ascii="宋体" w:hAnsi="宋体" w:cs="宋体"/>
              </w:rPr>
            </w:pPr>
            <w:r>
              <w:rPr>
                <w:rFonts w:hint="eastAsia" w:ascii="宋体" w:hAnsi="宋体" w:cs="宋体"/>
              </w:rPr>
              <w:t> </w:t>
            </w:r>
          </w:p>
        </w:tc>
        <w:tc>
          <w:tcPr>
            <w:tcW w:w="958" w:type="dxa"/>
            <w:vAlign w:val="center"/>
          </w:tcPr>
          <w:p>
            <w:pPr>
              <w:spacing w:before="156" w:after="156" w:line="400" w:lineRule="exact"/>
              <w:rPr>
                <w:rFonts w:hint="eastAsia" w:ascii="宋体" w:hAnsi="宋体" w:cs="宋体"/>
              </w:rPr>
            </w:pPr>
          </w:p>
        </w:tc>
        <w:tc>
          <w:tcPr>
            <w:tcW w:w="637" w:type="dxa"/>
            <w:vAlign w:val="center"/>
          </w:tcPr>
          <w:p>
            <w:pPr>
              <w:spacing w:before="156" w:after="156" w:line="400" w:lineRule="exact"/>
              <w:rPr>
                <w:rFonts w:hint="eastAsia" w:ascii="宋体" w:hAnsi="宋体" w:cs="宋体"/>
              </w:rPr>
            </w:pPr>
            <w:r>
              <w:rPr>
                <w:rFonts w:hint="eastAsia" w:ascii="宋体" w:hAnsi="宋体" w:cs="宋体"/>
              </w:rPr>
              <w:t> </w:t>
            </w:r>
          </w:p>
        </w:tc>
        <w:tc>
          <w:tcPr>
            <w:tcW w:w="3187" w:type="dxa"/>
            <w:vAlign w:val="center"/>
          </w:tcPr>
          <w:p>
            <w:pPr>
              <w:spacing w:before="156" w:after="156" w:line="400" w:lineRule="exact"/>
              <w:rPr>
                <w:rFonts w:hint="eastAsia" w:ascii="宋体" w:hAnsi="宋体" w:cs="宋体"/>
              </w:rPr>
            </w:pPr>
            <w:r>
              <w:rPr>
                <w:rFonts w:hint="eastAsia" w:ascii="宋体" w:hAnsi="宋体" w:cs="宋体"/>
              </w:rPr>
              <w:t> </w:t>
            </w:r>
          </w:p>
        </w:tc>
        <w:tc>
          <w:tcPr>
            <w:tcW w:w="2869" w:type="dxa"/>
            <w:vAlign w:val="top"/>
          </w:tcPr>
          <w:p>
            <w:pPr>
              <w:spacing w:before="156" w:after="156" w:line="400" w:lineRule="exact"/>
              <w:rPr>
                <w:rFonts w:hint="eastAsia" w:ascii="宋体" w:hAnsi="宋体" w:cs="宋体"/>
              </w:rPr>
            </w:pPr>
            <w:r>
              <w:rPr>
                <w:rFonts w:hint="eastAsia" w:ascii="宋体" w:hAnsi="宋体" w:cs="宋体"/>
              </w:rPr>
              <w:t> </w:t>
            </w:r>
          </w:p>
        </w:tc>
        <w:tc>
          <w:tcPr>
            <w:tcW w:w="1275" w:type="dxa"/>
            <w:vAlign w:val="center"/>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trPr>
        <w:tc>
          <w:tcPr>
            <w:tcW w:w="637" w:type="dxa"/>
            <w:vAlign w:val="center"/>
          </w:tcPr>
          <w:p>
            <w:pPr>
              <w:spacing w:before="156" w:after="156" w:line="400" w:lineRule="exact"/>
              <w:rPr>
                <w:rFonts w:hint="eastAsia" w:ascii="宋体" w:hAnsi="宋体" w:cs="宋体"/>
              </w:rPr>
            </w:pPr>
            <w:r>
              <w:rPr>
                <w:rFonts w:hint="eastAsia" w:ascii="宋体" w:hAnsi="宋体" w:cs="宋体"/>
              </w:rPr>
              <w:t> </w:t>
            </w:r>
          </w:p>
        </w:tc>
        <w:tc>
          <w:tcPr>
            <w:tcW w:w="958" w:type="dxa"/>
            <w:vAlign w:val="center"/>
          </w:tcPr>
          <w:p>
            <w:pPr>
              <w:spacing w:before="156" w:after="156" w:line="400" w:lineRule="exact"/>
              <w:rPr>
                <w:rFonts w:hint="eastAsia" w:ascii="宋体" w:hAnsi="宋体" w:cs="宋体"/>
              </w:rPr>
            </w:pPr>
          </w:p>
        </w:tc>
        <w:tc>
          <w:tcPr>
            <w:tcW w:w="637" w:type="dxa"/>
            <w:vAlign w:val="center"/>
          </w:tcPr>
          <w:p>
            <w:pPr>
              <w:spacing w:before="156" w:after="156" w:line="400" w:lineRule="exact"/>
              <w:rPr>
                <w:rFonts w:hint="eastAsia" w:ascii="宋体" w:hAnsi="宋体" w:cs="宋体"/>
              </w:rPr>
            </w:pPr>
            <w:r>
              <w:rPr>
                <w:rFonts w:hint="eastAsia" w:ascii="宋体" w:hAnsi="宋体" w:cs="宋体"/>
              </w:rPr>
              <w:t> </w:t>
            </w:r>
          </w:p>
        </w:tc>
        <w:tc>
          <w:tcPr>
            <w:tcW w:w="3187" w:type="dxa"/>
            <w:vAlign w:val="center"/>
          </w:tcPr>
          <w:p>
            <w:pPr>
              <w:spacing w:before="156" w:after="156" w:line="400" w:lineRule="exact"/>
              <w:rPr>
                <w:rFonts w:hint="eastAsia" w:ascii="宋体" w:hAnsi="宋体" w:cs="宋体"/>
              </w:rPr>
            </w:pPr>
            <w:r>
              <w:rPr>
                <w:rFonts w:hint="eastAsia" w:ascii="宋体" w:hAnsi="宋体" w:cs="宋体"/>
              </w:rPr>
              <w:t> </w:t>
            </w:r>
          </w:p>
        </w:tc>
        <w:tc>
          <w:tcPr>
            <w:tcW w:w="2869" w:type="dxa"/>
            <w:vAlign w:val="top"/>
          </w:tcPr>
          <w:p>
            <w:pPr>
              <w:spacing w:before="156" w:after="156" w:line="400" w:lineRule="exact"/>
              <w:rPr>
                <w:rFonts w:hint="eastAsia" w:ascii="宋体" w:hAnsi="宋体" w:cs="宋体"/>
              </w:rPr>
            </w:pPr>
            <w:r>
              <w:rPr>
                <w:rFonts w:hint="eastAsia" w:ascii="宋体" w:hAnsi="宋体" w:cs="宋体"/>
              </w:rPr>
              <w:t> </w:t>
            </w:r>
          </w:p>
        </w:tc>
        <w:tc>
          <w:tcPr>
            <w:tcW w:w="1275" w:type="dxa"/>
            <w:vAlign w:val="center"/>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trPr>
        <w:tc>
          <w:tcPr>
            <w:tcW w:w="637" w:type="dxa"/>
            <w:vAlign w:val="top"/>
          </w:tcPr>
          <w:p>
            <w:pPr>
              <w:spacing w:before="156" w:after="156" w:line="400" w:lineRule="exact"/>
              <w:rPr>
                <w:rFonts w:hint="eastAsia" w:ascii="宋体" w:hAnsi="宋体" w:cs="宋体"/>
                <w:b/>
              </w:rPr>
            </w:pPr>
            <w:r>
              <w:rPr>
                <w:rFonts w:hint="eastAsia" w:ascii="宋体" w:hAnsi="宋体" w:cs="宋体"/>
                <w:b/>
              </w:rPr>
              <w:t> </w:t>
            </w:r>
          </w:p>
        </w:tc>
        <w:tc>
          <w:tcPr>
            <w:tcW w:w="958" w:type="dxa"/>
            <w:vAlign w:val="top"/>
          </w:tcPr>
          <w:p>
            <w:pPr>
              <w:spacing w:before="156" w:after="156" w:line="400" w:lineRule="exact"/>
              <w:rPr>
                <w:rFonts w:hint="eastAsia" w:ascii="宋体" w:hAnsi="宋体" w:cs="宋体"/>
                <w:b/>
              </w:rPr>
            </w:pPr>
          </w:p>
        </w:tc>
        <w:tc>
          <w:tcPr>
            <w:tcW w:w="637" w:type="dxa"/>
            <w:vAlign w:val="top"/>
          </w:tcPr>
          <w:p>
            <w:pPr>
              <w:spacing w:before="156" w:after="156" w:line="400" w:lineRule="exact"/>
              <w:rPr>
                <w:rFonts w:hint="eastAsia" w:ascii="宋体" w:hAnsi="宋体" w:cs="宋体"/>
                <w:b/>
              </w:rPr>
            </w:pPr>
            <w:r>
              <w:rPr>
                <w:rFonts w:hint="eastAsia" w:ascii="宋体" w:hAnsi="宋体" w:cs="宋体"/>
                <w:b/>
              </w:rPr>
              <w:t> </w:t>
            </w:r>
          </w:p>
        </w:tc>
        <w:tc>
          <w:tcPr>
            <w:tcW w:w="3187" w:type="dxa"/>
            <w:vAlign w:val="top"/>
          </w:tcPr>
          <w:p>
            <w:pPr>
              <w:spacing w:before="156" w:after="156" w:line="400" w:lineRule="exact"/>
              <w:rPr>
                <w:rFonts w:hint="eastAsia" w:ascii="宋体" w:hAnsi="宋体" w:cs="宋体"/>
                <w:b/>
              </w:rPr>
            </w:pPr>
            <w:r>
              <w:rPr>
                <w:rFonts w:hint="eastAsia" w:ascii="宋体" w:hAnsi="宋体" w:cs="宋体"/>
                <w:b/>
              </w:rPr>
              <w:t> </w:t>
            </w:r>
          </w:p>
        </w:tc>
        <w:tc>
          <w:tcPr>
            <w:tcW w:w="2869" w:type="dxa"/>
            <w:vAlign w:val="top"/>
          </w:tcPr>
          <w:p>
            <w:pPr>
              <w:spacing w:before="156" w:after="156" w:line="400" w:lineRule="exact"/>
              <w:rPr>
                <w:rFonts w:hint="eastAsia" w:ascii="宋体" w:hAnsi="宋体" w:cs="宋体"/>
              </w:rPr>
            </w:pPr>
            <w:r>
              <w:rPr>
                <w:rFonts w:hint="eastAsia" w:ascii="宋体" w:hAnsi="宋体" w:cs="宋体"/>
              </w:rPr>
              <w:t> </w:t>
            </w:r>
          </w:p>
        </w:tc>
        <w:tc>
          <w:tcPr>
            <w:tcW w:w="1275" w:type="dxa"/>
            <w:vAlign w:val="center"/>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trPr>
        <w:tc>
          <w:tcPr>
            <w:tcW w:w="637" w:type="dxa"/>
            <w:vAlign w:val="top"/>
          </w:tcPr>
          <w:p>
            <w:pPr>
              <w:spacing w:before="156" w:after="156" w:line="400" w:lineRule="exact"/>
              <w:rPr>
                <w:rFonts w:hint="eastAsia" w:ascii="宋体" w:hAnsi="宋体" w:cs="宋体"/>
              </w:rPr>
            </w:pPr>
            <w:r>
              <w:rPr>
                <w:rFonts w:hint="eastAsia" w:ascii="宋体" w:hAnsi="宋体" w:cs="宋体"/>
              </w:rPr>
              <w:t> </w:t>
            </w:r>
          </w:p>
        </w:tc>
        <w:tc>
          <w:tcPr>
            <w:tcW w:w="958" w:type="dxa"/>
            <w:vAlign w:val="top"/>
          </w:tcPr>
          <w:p>
            <w:pPr>
              <w:spacing w:before="156" w:after="156" w:line="400" w:lineRule="exact"/>
              <w:rPr>
                <w:rFonts w:hint="eastAsia" w:ascii="宋体" w:hAnsi="宋体" w:cs="宋体"/>
              </w:rPr>
            </w:pPr>
          </w:p>
        </w:tc>
        <w:tc>
          <w:tcPr>
            <w:tcW w:w="637" w:type="dxa"/>
            <w:vAlign w:val="top"/>
          </w:tcPr>
          <w:p>
            <w:pPr>
              <w:spacing w:before="156" w:after="156" w:line="400" w:lineRule="exact"/>
              <w:rPr>
                <w:rFonts w:hint="eastAsia" w:ascii="宋体" w:hAnsi="宋体" w:cs="宋体"/>
              </w:rPr>
            </w:pPr>
            <w:r>
              <w:rPr>
                <w:rFonts w:hint="eastAsia" w:ascii="宋体" w:hAnsi="宋体" w:cs="宋体"/>
              </w:rPr>
              <w:t> </w:t>
            </w:r>
          </w:p>
        </w:tc>
        <w:tc>
          <w:tcPr>
            <w:tcW w:w="3187" w:type="dxa"/>
            <w:vAlign w:val="top"/>
          </w:tcPr>
          <w:p>
            <w:pPr>
              <w:spacing w:before="156" w:after="156" w:line="400" w:lineRule="exact"/>
              <w:rPr>
                <w:rFonts w:hint="eastAsia" w:ascii="宋体" w:hAnsi="宋体" w:cs="宋体"/>
              </w:rPr>
            </w:pPr>
            <w:r>
              <w:rPr>
                <w:rFonts w:hint="eastAsia" w:ascii="宋体" w:hAnsi="宋体" w:cs="宋体"/>
              </w:rPr>
              <w:t> </w:t>
            </w:r>
          </w:p>
        </w:tc>
        <w:tc>
          <w:tcPr>
            <w:tcW w:w="2869" w:type="dxa"/>
            <w:vAlign w:val="top"/>
          </w:tcPr>
          <w:p>
            <w:pPr>
              <w:spacing w:before="156" w:after="156" w:line="400" w:lineRule="exact"/>
              <w:rPr>
                <w:rFonts w:hint="eastAsia" w:ascii="宋体" w:hAnsi="宋体" w:cs="宋体"/>
              </w:rPr>
            </w:pPr>
            <w:r>
              <w:rPr>
                <w:rFonts w:hint="eastAsia" w:ascii="宋体" w:hAnsi="宋体" w:cs="宋体"/>
              </w:rPr>
              <w:t> </w:t>
            </w:r>
          </w:p>
        </w:tc>
        <w:tc>
          <w:tcPr>
            <w:tcW w:w="1275" w:type="dxa"/>
            <w:vAlign w:val="center"/>
          </w:tcPr>
          <w:p>
            <w:pPr>
              <w:spacing w:before="156" w:after="156" w:line="400" w:lineRule="exact"/>
              <w:rPr>
                <w:rFonts w:hint="eastAsia" w:ascii="宋体" w:hAnsi="宋体" w:cs="宋体"/>
              </w:rPr>
            </w:pPr>
            <w:r>
              <w:rPr>
                <w:rFonts w:hint="eastAsia" w:ascii="宋体" w:hAnsi="宋体" w:cs="宋体"/>
              </w:rPr>
              <w:t> </w:t>
            </w:r>
          </w:p>
        </w:tc>
      </w:tr>
    </w:tbl>
    <w:p>
      <w:pPr>
        <w:pStyle w:val="7"/>
        <w:spacing w:line="360" w:lineRule="auto"/>
        <w:rPr>
          <w:rFonts w:hint="eastAsia" w:ascii="宋体" w:hAnsi="宋体" w:cs="宋体"/>
        </w:rPr>
      </w:pPr>
    </w:p>
    <w:p>
      <w:pPr>
        <w:pStyle w:val="7"/>
        <w:spacing w:line="360" w:lineRule="auto"/>
        <w:rPr>
          <w:rFonts w:hint="eastAsia" w:ascii="宋体" w:hAnsi="宋体" w:cs="宋体"/>
          <w:b/>
          <w:bCs/>
        </w:rPr>
      </w:pPr>
      <w:r>
        <w:rPr>
          <w:rFonts w:hint="eastAsia" w:ascii="宋体" w:hAnsi="宋体" w:cs="宋体"/>
          <w:b/>
          <w:bCs/>
        </w:rPr>
        <w:t>注：如招标文件中标有“</w:t>
      </w:r>
      <w:r>
        <w:rPr>
          <w:rFonts w:hint="eastAsia" w:ascii="宋体" w:hAnsi="宋体" w:cs="宋体"/>
          <w:b/>
        </w:rPr>
        <w:t>★</w:t>
      </w:r>
      <w:r>
        <w:rPr>
          <w:rFonts w:hint="eastAsia" w:ascii="宋体" w:hAnsi="宋体" w:cs="宋体"/>
          <w:b/>
          <w:bCs/>
        </w:rPr>
        <w:t>” 、“重要指标” 或投标人认为重要的内容，请在上表填写。</w:t>
      </w:r>
    </w:p>
    <w:p>
      <w:pPr>
        <w:pStyle w:val="7"/>
        <w:spacing w:line="360" w:lineRule="auto"/>
        <w:rPr>
          <w:rFonts w:hint="eastAsia" w:ascii="宋体" w:hAnsi="宋体" w:cs="宋体"/>
        </w:rPr>
      </w:pPr>
    </w:p>
    <w:p>
      <w:pPr>
        <w:pStyle w:val="7"/>
        <w:spacing w:line="360" w:lineRule="auto"/>
        <w:rPr>
          <w:rFonts w:hint="eastAsia" w:ascii="宋体" w:hAnsi="宋体" w:cs="宋体"/>
        </w:rPr>
      </w:pPr>
      <w:r>
        <w:rPr>
          <w:rFonts w:hint="eastAsia" w:ascii="宋体" w:hAnsi="宋体" w:cs="宋体"/>
        </w:rPr>
        <w:t>（此表可延长）</w:t>
      </w: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rPr>
          <w:rFonts w:hint="eastAsia" w:ascii="宋体" w:hAnsi="宋体" w:cs="宋体"/>
          <w:sz w:val="28"/>
          <w:szCs w:val="28"/>
        </w:rPr>
      </w:pPr>
      <w:bookmarkStart w:id="59" w:name="_Toc421004196"/>
      <w:bookmarkStart w:id="60" w:name="_Toc421205759"/>
      <w:bookmarkStart w:id="61" w:name="_Toc420684762"/>
      <w:r>
        <w:rPr>
          <w:rFonts w:hint="eastAsia" w:ascii="宋体" w:hAnsi="宋体" w:cs="宋体"/>
          <w:sz w:val="28"/>
          <w:szCs w:val="28"/>
        </w:rPr>
        <w:t>表5-7  投标人基本情况表</w:t>
      </w:r>
      <w:bookmarkEnd w:id="59"/>
      <w:bookmarkEnd w:id="60"/>
      <w:bookmarkEnd w:id="61"/>
    </w:p>
    <w:p>
      <w:pPr>
        <w:widowControl/>
        <w:numPr>
          <w:ilvl w:val="0"/>
          <w:numId w:val="39"/>
        </w:numPr>
        <w:spacing w:before="120" w:after="120" w:line="360" w:lineRule="exact"/>
        <w:jc w:val="left"/>
        <w:rPr>
          <w:rFonts w:hint="eastAsia" w:ascii="宋体" w:hAnsi="宋体" w:cs="宋体"/>
        </w:rPr>
      </w:pPr>
      <w:r>
        <w:rPr>
          <w:rFonts w:hint="eastAsia" w:ascii="宋体" w:hAnsi="宋体" w:cs="宋体"/>
        </w:rPr>
        <w:t>公司基本情况</w:t>
      </w:r>
    </w:p>
    <w:p>
      <w:pPr>
        <w:spacing w:before="120" w:after="120" w:line="360" w:lineRule="exact"/>
        <w:rPr>
          <w:rFonts w:hint="eastAsia" w:ascii="宋体" w:hAnsi="宋体" w:cs="宋体"/>
          <w:u w:val="single"/>
        </w:rPr>
      </w:pPr>
      <w:r>
        <w:rPr>
          <w:rFonts w:hint="eastAsia" w:ascii="宋体" w:hAnsi="宋体" w:cs="宋体"/>
        </w:rPr>
        <w:t>1、公司名称：</w:t>
      </w:r>
      <w:r>
        <w:rPr>
          <w:rFonts w:hint="eastAsia" w:ascii="宋体" w:hAnsi="宋体" w:cs="宋体"/>
          <w:u w:val="single"/>
        </w:rPr>
        <w:t xml:space="preserve">                </w:t>
      </w:r>
      <w:r>
        <w:rPr>
          <w:rFonts w:hint="eastAsia" w:ascii="宋体" w:hAnsi="宋体" w:cs="宋体"/>
        </w:rPr>
        <w:t xml:space="preserve">               电话号码： </w:t>
      </w:r>
      <w:r>
        <w:rPr>
          <w:rFonts w:hint="eastAsia" w:ascii="宋体" w:hAnsi="宋体" w:cs="宋体"/>
          <w:u w:val="single"/>
        </w:rPr>
        <w:t>__________________</w:t>
      </w:r>
    </w:p>
    <w:p>
      <w:pPr>
        <w:spacing w:before="120" w:after="120" w:line="360" w:lineRule="exact"/>
        <w:rPr>
          <w:rFonts w:hint="eastAsia" w:ascii="宋体" w:hAnsi="宋体" w:cs="宋体"/>
        </w:rPr>
      </w:pPr>
      <w:r>
        <w:rPr>
          <w:rFonts w:hint="eastAsia" w:ascii="宋体" w:hAnsi="宋体" w:cs="宋体"/>
        </w:rPr>
        <w:t>2、地    址：</w:t>
      </w:r>
      <w:r>
        <w:rPr>
          <w:rFonts w:hint="eastAsia" w:ascii="宋体" w:hAnsi="宋体" w:cs="宋体"/>
          <w:u w:val="single"/>
        </w:rPr>
        <w:t xml:space="preserve">                </w:t>
      </w:r>
      <w:r>
        <w:rPr>
          <w:rFonts w:hint="eastAsia" w:ascii="宋体" w:hAnsi="宋体" w:cs="宋体"/>
        </w:rPr>
        <w:t xml:space="preserve">               传    真： </w:t>
      </w:r>
      <w:r>
        <w:rPr>
          <w:rFonts w:hint="eastAsia" w:ascii="宋体" w:hAnsi="宋体" w:cs="宋体"/>
          <w:u w:val="single"/>
        </w:rPr>
        <w:t xml:space="preserve"> _________________</w:t>
      </w:r>
    </w:p>
    <w:p>
      <w:pPr>
        <w:spacing w:before="120" w:after="120" w:line="360" w:lineRule="exact"/>
        <w:rPr>
          <w:rFonts w:hint="eastAsia" w:ascii="宋体" w:hAnsi="宋体" w:cs="宋体"/>
          <w:u w:val="single"/>
        </w:rPr>
      </w:pPr>
      <w:r>
        <w:rPr>
          <w:rFonts w:hint="eastAsia" w:ascii="宋体" w:hAnsi="宋体" w:cs="宋体"/>
        </w:rPr>
        <w:t>3、注册资金：</w:t>
      </w:r>
      <w:r>
        <w:rPr>
          <w:rFonts w:hint="eastAsia" w:ascii="宋体" w:hAnsi="宋体" w:cs="宋体"/>
          <w:u w:val="single"/>
        </w:rPr>
        <w:t xml:space="preserve">                </w:t>
      </w:r>
      <w:r>
        <w:rPr>
          <w:rFonts w:hint="eastAsia" w:ascii="宋体" w:hAnsi="宋体" w:cs="宋体"/>
        </w:rPr>
        <w:t xml:space="preserve">               企业类型：</w:t>
      </w:r>
      <w:r>
        <w:rPr>
          <w:rFonts w:hint="eastAsia" w:ascii="宋体" w:hAnsi="宋体" w:cs="宋体"/>
          <w:u w:val="single"/>
        </w:rPr>
        <w:t xml:space="preserve">  __________________</w:t>
      </w:r>
    </w:p>
    <w:p>
      <w:pPr>
        <w:spacing w:before="120" w:after="120" w:line="360" w:lineRule="exact"/>
        <w:rPr>
          <w:rFonts w:hint="eastAsia" w:ascii="宋体" w:hAnsi="宋体" w:cs="宋体"/>
        </w:rPr>
      </w:pPr>
      <w:r>
        <w:rPr>
          <w:rFonts w:hint="eastAsia" w:ascii="宋体" w:hAnsi="宋体" w:cs="宋体"/>
        </w:rPr>
        <w:t xml:space="preserve">   经营范围：</w:t>
      </w:r>
      <w:r>
        <w:rPr>
          <w:rFonts w:hint="eastAsia" w:ascii="宋体" w:hAnsi="宋体" w:cs="宋体"/>
          <w:u w:val="single"/>
        </w:rPr>
        <w:t xml:space="preserve">                                                             </w:t>
      </w:r>
      <w:r>
        <w:rPr>
          <w:rFonts w:hint="eastAsia" w:ascii="宋体" w:hAnsi="宋体" w:cs="宋体"/>
        </w:rPr>
        <w:t xml:space="preserve">  </w:t>
      </w:r>
    </w:p>
    <w:p>
      <w:pPr>
        <w:spacing w:before="120" w:after="120" w:line="360" w:lineRule="exact"/>
        <w:rPr>
          <w:rFonts w:hint="eastAsia" w:ascii="宋体" w:hAnsi="宋体" w:cs="宋体"/>
        </w:rPr>
      </w:pPr>
      <w:r>
        <w:rPr>
          <w:rFonts w:hint="eastAsia" w:ascii="宋体" w:hAnsi="宋体" w:cs="宋体"/>
        </w:rPr>
        <w:t xml:space="preserve">4、公司开户银行名称及账号：      </w:t>
      </w:r>
    </w:p>
    <w:p>
      <w:pPr>
        <w:spacing w:before="120" w:after="120" w:line="360" w:lineRule="exact"/>
        <w:ind w:firstLine="210" w:firstLineChars="100"/>
        <w:rPr>
          <w:rFonts w:hint="eastAsia" w:ascii="宋体" w:hAnsi="宋体" w:cs="宋体"/>
        </w:rPr>
      </w:pPr>
      <w:r>
        <w:rPr>
          <w:rFonts w:hint="eastAsia" w:ascii="宋体" w:hAnsi="宋体" w:cs="宋体"/>
        </w:rPr>
        <w:t>_______________________________________</w:t>
      </w:r>
    </w:p>
    <w:p>
      <w:pPr>
        <w:spacing w:before="120" w:after="120" w:line="360" w:lineRule="exact"/>
        <w:ind w:firstLine="210" w:firstLineChars="100"/>
        <w:rPr>
          <w:rFonts w:hint="eastAsia" w:ascii="宋体" w:hAnsi="宋体" w:cs="宋体"/>
        </w:rPr>
      </w:pPr>
      <w:r>
        <w:rPr>
          <w:rFonts w:hint="eastAsia" w:ascii="宋体" w:hAnsi="宋体" w:cs="宋体"/>
        </w:rPr>
        <w:t>地址：</w:t>
      </w:r>
    </w:p>
    <w:p>
      <w:pPr>
        <w:rPr>
          <w:rFonts w:hint="eastAsia" w:ascii="宋体" w:hAnsi="宋体" w:cs="宋体"/>
        </w:rPr>
      </w:pPr>
      <w:r>
        <w:rPr>
          <w:rFonts w:hint="eastAsia" w:ascii="宋体" w:hAnsi="宋体" w:cs="宋体"/>
        </w:rPr>
        <w:t xml:space="preserve">  _______________________________________</w:t>
      </w:r>
    </w:p>
    <w:p>
      <w:pPr>
        <w:spacing w:before="120" w:after="120" w:line="360" w:lineRule="exact"/>
        <w:ind w:firstLine="210" w:firstLineChars="100"/>
        <w:rPr>
          <w:rFonts w:hint="eastAsia" w:ascii="宋体" w:hAnsi="宋体" w:cs="宋体"/>
        </w:rPr>
      </w:pPr>
      <w:r>
        <w:rPr>
          <w:rFonts w:hint="eastAsia" w:ascii="宋体" w:hAnsi="宋体" w:cs="宋体"/>
        </w:rPr>
        <w:t>________________________________________</w:t>
      </w:r>
    </w:p>
    <w:p>
      <w:pPr>
        <w:tabs>
          <w:tab w:val="left" w:pos="420"/>
        </w:tabs>
        <w:spacing w:before="120" w:after="120" w:line="360" w:lineRule="exact"/>
        <w:ind w:left="420" w:hanging="420"/>
        <w:rPr>
          <w:rFonts w:hint="eastAsia" w:ascii="宋体" w:hAnsi="宋体" w:cs="宋体"/>
        </w:rPr>
      </w:pPr>
      <w:r>
        <w:rPr>
          <w:rFonts w:hint="eastAsia" w:ascii="宋体" w:hAnsi="宋体" w:cs="宋体"/>
        </w:rPr>
        <w:t xml:space="preserve">5、营业执照注册号：   </w:t>
      </w:r>
    </w:p>
    <w:p>
      <w:pPr>
        <w:spacing w:before="120" w:after="120" w:line="360" w:lineRule="exact"/>
        <w:rPr>
          <w:rFonts w:hint="eastAsia" w:ascii="宋体" w:hAnsi="宋体" w:cs="宋体"/>
          <w:b/>
          <w:bCs/>
        </w:rPr>
      </w:pPr>
      <w:r>
        <w:rPr>
          <w:rFonts w:hint="eastAsia" w:ascii="宋体" w:hAnsi="宋体" w:cs="宋体"/>
          <w:b/>
          <w:bCs/>
        </w:rPr>
        <w:t>（随本表格附交最新营业执照副本的复印件、税务登记证副本复印件、组织机构代码证复印件各一份（或三证合一证明）证明文件，均须加盖公章）</w:t>
      </w:r>
    </w:p>
    <w:p>
      <w:pPr>
        <w:widowControl/>
        <w:numPr>
          <w:ilvl w:val="0"/>
          <w:numId w:val="39"/>
        </w:numPr>
        <w:spacing w:before="120" w:after="120" w:line="360" w:lineRule="exact"/>
        <w:jc w:val="left"/>
        <w:rPr>
          <w:rFonts w:hint="eastAsia" w:ascii="宋体" w:hAnsi="宋体" w:cs="宋体"/>
        </w:rPr>
      </w:pPr>
      <w:r>
        <w:rPr>
          <w:rFonts w:hint="eastAsia" w:ascii="宋体" w:hAnsi="宋体" w:cs="宋体"/>
        </w:rPr>
        <w:t>公司简介</w:t>
      </w:r>
    </w:p>
    <w:p>
      <w:pPr>
        <w:spacing w:before="120" w:beforeLines="50" w:after="120" w:afterLines="50" w:line="360" w:lineRule="exact"/>
        <w:ind w:left="360"/>
        <w:rPr>
          <w:rFonts w:hint="eastAsia" w:ascii="宋体" w:hAnsi="宋体" w:cs="宋体"/>
        </w:rPr>
      </w:pPr>
      <w:r>
        <w:rPr>
          <w:rFonts w:hint="eastAsia" w:ascii="宋体" w:hAnsi="宋体" w:cs="宋体"/>
        </w:rPr>
        <w:t>（自行描述）</w:t>
      </w:r>
    </w:p>
    <w:p>
      <w:pPr>
        <w:spacing w:before="156" w:after="156" w:line="400" w:lineRule="exact"/>
        <w:rPr>
          <w:rFonts w:hint="eastAsia" w:ascii="宋体" w:hAnsi="宋体" w:cs="宋体"/>
        </w:rPr>
      </w:pPr>
      <w:r>
        <w:rPr>
          <w:rFonts w:hint="eastAsia" w:ascii="宋体" w:hAnsi="宋体" w:cs="宋体"/>
        </w:rPr>
        <w:t>三、公司财务情况：</w:t>
      </w:r>
    </w:p>
    <w:tbl>
      <w:tblPr>
        <w:tblStyle w:val="55"/>
        <w:tblW w:w="9069"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8"/>
        <w:gridCol w:w="2812"/>
        <w:gridCol w:w="2160"/>
        <w:gridCol w:w="24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88"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年份</w:t>
            </w:r>
          </w:p>
        </w:tc>
        <w:tc>
          <w:tcPr>
            <w:tcW w:w="2812"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年营业额</w:t>
            </w:r>
          </w:p>
        </w:tc>
        <w:tc>
          <w:tcPr>
            <w:tcW w:w="2160"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利润总额</w:t>
            </w:r>
          </w:p>
        </w:tc>
        <w:tc>
          <w:tcPr>
            <w:tcW w:w="2409"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资产负债率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1688" w:type="dxa"/>
            <w:tcBorders>
              <w:top w:val="single" w:color="auto" w:sz="6" w:space="0"/>
            </w:tcBorders>
            <w:vAlign w:val="top"/>
          </w:tcPr>
          <w:p>
            <w:pPr>
              <w:spacing w:before="156" w:after="156" w:line="400" w:lineRule="exact"/>
              <w:jc w:val="center"/>
              <w:rPr>
                <w:rFonts w:hint="eastAsia" w:ascii="宋体" w:hAnsi="宋体" w:eastAsia="宋体" w:cs="宋体"/>
                <w:b/>
                <w:lang w:eastAsia="zh-CN"/>
              </w:rPr>
            </w:pPr>
            <w:r>
              <w:rPr>
                <w:rFonts w:hint="eastAsia" w:ascii="宋体" w:hAnsi="宋体" w:cs="宋体"/>
                <w:b/>
              </w:rPr>
              <w:t>201</w:t>
            </w:r>
            <w:r>
              <w:rPr>
                <w:rFonts w:hint="eastAsia" w:ascii="宋体" w:hAnsi="宋体" w:cs="宋体"/>
                <w:b/>
                <w:lang w:val="en-US" w:eastAsia="zh-CN"/>
              </w:rPr>
              <w:t>5</w:t>
            </w:r>
          </w:p>
        </w:tc>
        <w:tc>
          <w:tcPr>
            <w:tcW w:w="2812" w:type="dxa"/>
            <w:tcBorders>
              <w:top w:val="single" w:color="auto" w:sz="6" w:space="0"/>
            </w:tcBorders>
            <w:vAlign w:val="top"/>
          </w:tcPr>
          <w:p>
            <w:pPr>
              <w:spacing w:before="156" w:after="156" w:line="400" w:lineRule="exact"/>
              <w:rPr>
                <w:rFonts w:hint="eastAsia" w:ascii="宋体" w:hAnsi="宋体" w:cs="宋体"/>
                <w:b/>
              </w:rPr>
            </w:pPr>
          </w:p>
        </w:tc>
        <w:tc>
          <w:tcPr>
            <w:tcW w:w="2160" w:type="dxa"/>
            <w:tcBorders>
              <w:top w:val="single" w:color="auto" w:sz="6" w:space="0"/>
            </w:tcBorders>
            <w:vAlign w:val="top"/>
          </w:tcPr>
          <w:p>
            <w:pPr>
              <w:spacing w:before="156" w:after="156" w:line="400" w:lineRule="exact"/>
              <w:rPr>
                <w:rFonts w:hint="eastAsia" w:ascii="宋体" w:hAnsi="宋体" w:cs="宋体"/>
                <w:b/>
              </w:rPr>
            </w:pPr>
          </w:p>
        </w:tc>
        <w:tc>
          <w:tcPr>
            <w:tcW w:w="2409" w:type="dxa"/>
            <w:tcBorders>
              <w:top w:val="single" w:color="auto" w:sz="6" w:space="0"/>
            </w:tcBorders>
            <w:vAlign w:val="top"/>
          </w:tcPr>
          <w:p>
            <w:pPr>
              <w:spacing w:before="156" w:after="156" w:line="400" w:lineRule="exact"/>
              <w:rPr>
                <w:rFonts w:hint="eastAsia" w:ascii="宋体" w:hAnsi="宋体" w:cs="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1688" w:type="dxa"/>
            <w:vAlign w:val="top"/>
          </w:tcPr>
          <w:p>
            <w:pPr>
              <w:spacing w:before="156" w:after="156" w:line="400" w:lineRule="exact"/>
              <w:jc w:val="center"/>
              <w:rPr>
                <w:rFonts w:hint="eastAsia" w:ascii="宋体" w:hAnsi="宋体" w:eastAsia="宋体" w:cs="宋体"/>
                <w:b/>
                <w:lang w:eastAsia="zh-CN"/>
              </w:rPr>
            </w:pPr>
            <w:r>
              <w:rPr>
                <w:rFonts w:hint="eastAsia" w:ascii="宋体" w:hAnsi="宋体" w:cs="宋体"/>
                <w:b/>
              </w:rPr>
              <w:t>201</w:t>
            </w:r>
            <w:r>
              <w:rPr>
                <w:rFonts w:hint="eastAsia" w:ascii="宋体" w:hAnsi="宋体" w:cs="宋体"/>
                <w:b/>
                <w:lang w:val="en-US" w:eastAsia="zh-CN"/>
              </w:rPr>
              <w:t>6</w:t>
            </w:r>
          </w:p>
        </w:tc>
        <w:tc>
          <w:tcPr>
            <w:tcW w:w="2812" w:type="dxa"/>
            <w:vAlign w:val="top"/>
          </w:tcPr>
          <w:p>
            <w:pPr>
              <w:spacing w:before="156" w:after="156" w:line="400" w:lineRule="exact"/>
              <w:rPr>
                <w:rFonts w:hint="eastAsia" w:ascii="宋体" w:hAnsi="宋体" w:cs="宋体"/>
                <w:b/>
              </w:rPr>
            </w:pPr>
          </w:p>
        </w:tc>
        <w:tc>
          <w:tcPr>
            <w:tcW w:w="2160" w:type="dxa"/>
            <w:vAlign w:val="top"/>
          </w:tcPr>
          <w:p>
            <w:pPr>
              <w:spacing w:before="156" w:after="156" w:line="400" w:lineRule="exact"/>
              <w:rPr>
                <w:rFonts w:hint="eastAsia" w:ascii="宋体" w:hAnsi="宋体" w:cs="宋体"/>
                <w:b/>
              </w:rPr>
            </w:pPr>
          </w:p>
        </w:tc>
        <w:tc>
          <w:tcPr>
            <w:tcW w:w="2409" w:type="dxa"/>
            <w:vAlign w:val="top"/>
          </w:tcPr>
          <w:p>
            <w:pPr>
              <w:spacing w:before="156" w:after="156" w:line="400" w:lineRule="exact"/>
              <w:rPr>
                <w:rFonts w:hint="eastAsia" w:ascii="宋体" w:hAnsi="宋体" w:cs="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1688" w:type="dxa"/>
            <w:vAlign w:val="top"/>
          </w:tcPr>
          <w:p>
            <w:pPr>
              <w:spacing w:before="156" w:after="156" w:line="400" w:lineRule="exact"/>
              <w:jc w:val="center"/>
              <w:rPr>
                <w:rFonts w:hint="eastAsia" w:ascii="宋体" w:hAnsi="宋体" w:eastAsia="宋体" w:cs="宋体"/>
                <w:b/>
                <w:lang w:eastAsia="zh-CN"/>
              </w:rPr>
            </w:pPr>
            <w:r>
              <w:rPr>
                <w:rFonts w:hint="eastAsia" w:ascii="宋体" w:hAnsi="宋体" w:cs="宋体"/>
                <w:b/>
              </w:rPr>
              <w:t>201</w:t>
            </w:r>
            <w:r>
              <w:rPr>
                <w:rFonts w:hint="eastAsia" w:ascii="宋体" w:hAnsi="宋体" w:cs="宋体"/>
                <w:b/>
                <w:lang w:val="en-US" w:eastAsia="zh-CN"/>
              </w:rPr>
              <w:t>7</w:t>
            </w:r>
          </w:p>
        </w:tc>
        <w:tc>
          <w:tcPr>
            <w:tcW w:w="2812" w:type="dxa"/>
            <w:vAlign w:val="top"/>
          </w:tcPr>
          <w:p>
            <w:pPr>
              <w:spacing w:before="156" w:after="156" w:line="400" w:lineRule="exact"/>
              <w:rPr>
                <w:rFonts w:hint="eastAsia" w:ascii="宋体" w:hAnsi="宋体" w:cs="宋体"/>
                <w:b/>
              </w:rPr>
            </w:pPr>
          </w:p>
        </w:tc>
        <w:tc>
          <w:tcPr>
            <w:tcW w:w="2160" w:type="dxa"/>
            <w:vAlign w:val="top"/>
          </w:tcPr>
          <w:p>
            <w:pPr>
              <w:spacing w:before="156" w:after="156" w:line="400" w:lineRule="exact"/>
              <w:rPr>
                <w:rFonts w:hint="eastAsia" w:ascii="宋体" w:hAnsi="宋体" w:cs="宋体"/>
                <w:b/>
              </w:rPr>
            </w:pPr>
          </w:p>
        </w:tc>
        <w:tc>
          <w:tcPr>
            <w:tcW w:w="2409" w:type="dxa"/>
            <w:vAlign w:val="top"/>
          </w:tcPr>
          <w:p>
            <w:pPr>
              <w:spacing w:before="156" w:after="156" w:line="400" w:lineRule="exact"/>
              <w:rPr>
                <w:rFonts w:hint="eastAsia" w:ascii="宋体" w:hAnsi="宋体" w:cs="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1688" w:type="dxa"/>
            <w:vAlign w:val="top"/>
          </w:tcPr>
          <w:p>
            <w:pPr>
              <w:spacing w:before="156" w:after="156" w:line="400" w:lineRule="exact"/>
              <w:jc w:val="center"/>
              <w:rPr>
                <w:rFonts w:hint="eastAsia" w:ascii="宋体" w:hAnsi="宋体" w:cs="宋体"/>
                <w:b/>
              </w:rPr>
            </w:pPr>
            <w:r>
              <w:rPr>
                <w:rFonts w:hint="eastAsia" w:ascii="宋体" w:hAnsi="宋体" w:cs="宋体"/>
                <w:b/>
              </w:rPr>
              <w:t>三年平均值</w:t>
            </w:r>
          </w:p>
        </w:tc>
        <w:tc>
          <w:tcPr>
            <w:tcW w:w="2812" w:type="dxa"/>
            <w:vAlign w:val="top"/>
          </w:tcPr>
          <w:p>
            <w:pPr>
              <w:spacing w:before="156" w:after="156" w:line="400" w:lineRule="exact"/>
              <w:rPr>
                <w:rFonts w:hint="eastAsia" w:ascii="宋体" w:hAnsi="宋体" w:cs="宋体"/>
                <w:b/>
              </w:rPr>
            </w:pPr>
          </w:p>
        </w:tc>
        <w:tc>
          <w:tcPr>
            <w:tcW w:w="2160" w:type="dxa"/>
            <w:vAlign w:val="top"/>
          </w:tcPr>
          <w:p>
            <w:pPr>
              <w:spacing w:before="156" w:after="156" w:line="400" w:lineRule="exact"/>
              <w:rPr>
                <w:rFonts w:hint="eastAsia" w:ascii="宋体" w:hAnsi="宋体" w:cs="宋体"/>
                <w:b/>
              </w:rPr>
            </w:pPr>
          </w:p>
        </w:tc>
        <w:tc>
          <w:tcPr>
            <w:tcW w:w="2409" w:type="dxa"/>
            <w:vAlign w:val="top"/>
          </w:tcPr>
          <w:p>
            <w:pPr>
              <w:spacing w:before="156" w:after="156" w:line="400" w:lineRule="exact"/>
              <w:rPr>
                <w:rFonts w:hint="eastAsia" w:ascii="宋体" w:hAnsi="宋体" w:cs="宋体"/>
                <w:b/>
              </w:rPr>
            </w:pPr>
          </w:p>
        </w:tc>
      </w:tr>
    </w:tbl>
    <w:p>
      <w:pPr>
        <w:spacing w:before="156" w:after="156" w:line="400" w:lineRule="exact"/>
        <w:rPr>
          <w:rFonts w:hint="eastAsia" w:ascii="宋体" w:hAnsi="宋体" w:cs="宋体"/>
        </w:rPr>
      </w:pPr>
      <w:r>
        <w:rPr>
          <w:rFonts w:hint="eastAsia" w:ascii="宋体" w:hAnsi="宋体" w:cs="宋体"/>
        </w:rPr>
        <w:t>四、投标人获得资质和代理资格证明文件</w:t>
      </w:r>
      <w:r>
        <w:rPr>
          <w:rFonts w:hint="eastAsia" w:ascii="宋体" w:hAnsi="宋体" w:cs="宋体"/>
          <w:bCs/>
        </w:rPr>
        <w:t>（须后附相关资格和证明文件的复印件，并加盖公章）</w:t>
      </w:r>
    </w:p>
    <w:tbl>
      <w:tblPr>
        <w:tblStyle w:val="55"/>
        <w:tblW w:w="906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70"/>
        <w:gridCol w:w="2421"/>
        <w:gridCol w:w="1926"/>
        <w:gridCol w:w="16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jc w:val="center"/>
        </w:trPr>
        <w:tc>
          <w:tcPr>
            <w:tcW w:w="3070"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证书名称</w:t>
            </w:r>
          </w:p>
        </w:tc>
        <w:tc>
          <w:tcPr>
            <w:tcW w:w="2421"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发证单位</w:t>
            </w:r>
          </w:p>
        </w:tc>
        <w:tc>
          <w:tcPr>
            <w:tcW w:w="1926"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证书等级</w:t>
            </w:r>
          </w:p>
        </w:tc>
        <w:tc>
          <w:tcPr>
            <w:tcW w:w="1643"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证书有效期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70" w:type="dxa"/>
            <w:tcBorders>
              <w:top w:val="single" w:color="auto" w:sz="6" w:space="0"/>
            </w:tcBorders>
            <w:vAlign w:val="top"/>
          </w:tcPr>
          <w:p>
            <w:pPr>
              <w:spacing w:before="156" w:after="156" w:line="400" w:lineRule="exact"/>
              <w:rPr>
                <w:rFonts w:hint="eastAsia" w:ascii="宋体" w:hAnsi="宋体" w:cs="宋体"/>
              </w:rPr>
            </w:pPr>
          </w:p>
        </w:tc>
        <w:tc>
          <w:tcPr>
            <w:tcW w:w="2421" w:type="dxa"/>
            <w:tcBorders>
              <w:top w:val="single" w:color="auto" w:sz="6" w:space="0"/>
            </w:tcBorders>
            <w:vAlign w:val="top"/>
          </w:tcPr>
          <w:p>
            <w:pPr>
              <w:spacing w:before="156" w:after="156" w:line="400" w:lineRule="exact"/>
              <w:rPr>
                <w:rFonts w:hint="eastAsia" w:ascii="宋体" w:hAnsi="宋体" w:cs="宋体"/>
              </w:rPr>
            </w:pPr>
          </w:p>
        </w:tc>
        <w:tc>
          <w:tcPr>
            <w:tcW w:w="1926" w:type="dxa"/>
            <w:tcBorders>
              <w:top w:val="single" w:color="auto" w:sz="6" w:space="0"/>
            </w:tcBorders>
            <w:vAlign w:val="top"/>
          </w:tcPr>
          <w:p>
            <w:pPr>
              <w:spacing w:before="156" w:after="156" w:line="400" w:lineRule="exact"/>
              <w:rPr>
                <w:rFonts w:hint="eastAsia" w:ascii="宋体" w:hAnsi="宋体" w:cs="宋体"/>
              </w:rPr>
            </w:pPr>
          </w:p>
        </w:tc>
        <w:tc>
          <w:tcPr>
            <w:tcW w:w="1643" w:type="dxa"/>
            <w:tcBorders>
              <w:top w:val="single" w:color="auto" w:sz="6" w:space="0"/>
            </w:tcBorders>
            <w:vAlign w:val="top"/>
          </w:tcPr>
          <w:p>
            <w:pPr>
              <w:spacing w:before="156" w:after="156" w:line="400" w:lineRule="exac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jc w:val="center"/>
        </w:trPr>
        <w:tc>
          <w:tcPr>
            <w:tcW w:w="3070" w:type="dxa"/>
            <w:vAlign w:val="top"/>
          </w:tcPr>
          <w:p>
            <w:pPr>
              <w:spacing w:before="156" w:after="156" w:line="400" w:lineRule="exact"/>
              <w:rPr>
                <w:rFonts w:hint="eastAsia" w:ascii="宋体" w:hAnsi="宋体" w:cs="宋体"/>
              </w:rPr>
            </w:pPr>
          </w:p>
        </w:tc>
        <w:tc>
          <w:tcPr>
            <w:tcW w:w="2421" w:type="dxa"/>
            <w:vAlign w:val="top"/>
          </w:tcPr>
          <w:p>
            <w:pPr>
              <w:spacing w:before="156" w:after="156" w:line="400" w:lineRule="exact"/>
              <w:rPr>
                <w:rFonts w:hint="eastAsia" w:ascii="宋体" w:hAnsi="宋体" w:cs="宋体"/>
              </w:rPr>
            </w:pPr>
          </w:p>
        </w:tc>
        <w:tc>
          <w:tcPr>
            <w:tcW w:w="1926" w:type="dxa"/>
            <w:vAlign w:val="top"/>
          </w:tcPr>
          <w:p>
            <w:pPr>
              <w:spacing w:before="156" w:after="156" w:line="400" w:lineRule="exact"/>
              <w:rPr>
                <w:rFonts w:hint="eastAsia" w:ascii="宋体" w:hAnsi="宋体" w:cs="宋体"/>
              </w:rPr>
            </w:pPr>
          </w:p>
        </w:tc>
        <w:tc>
          <w:tcPr>
            <w:tcW w:w="1643" w:type="dxa"/>
            <w:vAlign w:val="top"/>
          </w:tcPr>
          <w:p>
            <w:pPr>
              <w:spacing w:before="156" w:after="156" w:line="400" w:lineRule="exac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70" w:type="dxa"/>
            <w:vAlign w:val="top"/>
          </w:tcPr>
          <w:p>
            <w:pPr>
              <w:spacing w:before="156" w:after="156" w:line="400" w:lineRule="exact"/>
              <w:rPr>
                <w:rFonts w:hint="eastAsia" w:ascii="宋体" w:hAnsi="宋体" w:cs="宋体"/>
              </w:rPr>
            </w:pPr>
          </w:p>
        </w:tc>
        <w:tc>
          <w:tcPr>
            <w:tcW w:w="2421" w:type="dxa"/>
            <w:vAlign w:val="top"/>
          </w:tcPr>
          <w:p>
            <w:pPr>
              <w:spacing w:before="156" w:after="156" w:line="400" w:lineRule="exact"/>
              <w:rPr>
                <w:rFonts w:hint="eastAsia" w:ascii="宋体" w:hAnsi="宋体" w:cs="宋体"/>
              </w:rPr>
            </w:pPr>
          </w:p>
        </w:tc>
        <w:tc>
          <w:tcPr>
            <w:tcW w:w="1926" w:type="dxa"/>
            <w:vAlign w:val="top"/>
          </w:tcPr>
          <w:p>
            <w:pPr>
              <w:spacing w:before="156" w:after="156" w:line="400" w:lineRule="exact"/>
              <w:rPr>
                <w:rFonts w:hint="eastAsia" w:ascii="宋体" w:hAnsi="宋体" w:cs="宋体"/>
              </w:rPr>
            </w:pPr>
          </w:p>
        </w:tc>
        <w:tc>
          <w:tcPr>
            <w:tcW w:w="1643" w:type="dxa"/>
            <w:vAlign w:val="top"/>
          </w:tcPr>
          <w:p>
            <w:pPr>
              <w:spacing w:before="156" w:after="156" w:line="400" w:lineRule="exact"/>
              <w:rPr>
                <w:rFonts w:hint="eastAsia" w:ascii="宋体" w:hAnsi="宋体" w:cs="宋体"/>
              </w:rPr>
            </w:pPr>
          </w:p>
        </w:tc>
      </w:tr>
    </w:tbl>
    <w:p>
      <w:pPr>
        <w:spacing w:before="156" w:after="156" w:line="400" w:lineRule="exact"/>
        <w:rPr>
          <w:rFonts w:hint="eastAsia" w:ascii="宋体" w:hAnsi="宋体" w:cs="宋体"/>
          <w:szCs w:val="21"/>
        </w:rPr>
      </w:pPr>
      <w:r>
        <w:rPr>
          <w:rFonts w:hint="eastAsia" w:ascii="宋体" w:hAnsi="宋体" w:cs="宋体"/>
        </w:rPr>
        <w:t>五、</w:t>
      </w:r>
      <w:r>
        <w:rPr>
          <w:rFonts w:hint="eastAsia" w:ascii="宋体" w:hAnsi="宋体" w:cs="宋体"/>
          <w:szCs w:val="21"/>
        </w:rPr>
        <w:t>投标人获奖情况（须后附相关获奖证书的复印件，并加盖公章）</w:t>
      </w:r>
    </w:p>
    <w:tbl>
      <w:tblPr>
        <w:tblStyle w:val="55"/>
        <w:tblW w:w="906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07"/>
        <w:gridCol w:w="2421"/>
        <w:gridCol w:w="333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jc w:val="center"/>
        </w:trPr>
        <w:tc>
          <w:tcPr>
            <w:tcW w:w="3307"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证书名称</w:t>
            </w:r>
          </w:p>
        </w:tc>
        <w:tc>
          <w:tcPr>
            <w:tcW w:w="2421"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发证单位</w:t>
            </w:r>
          </w:p>
        </w:tc>
        <w:tc>
          <w:tcPr>
            <w:tcW w:w="3332"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307" w:type="dxa"/>
            <w:tcBorders>
              <w:top w:val="single" w:color="auto" w:sz="6" w:space="0"/>
            </w:tcBorders>
            <w:vAlign w:val="top"/>
          </w:tcPr>
          <w:p>
            <w:pPr>
              <w:spacing w:before="156" w:after="156" w:line="400" w:lineRule="exact"/>
              <w:rPr>
                <w:rFonts w:hint="eastAsia" w:ascii="宋体" w:hAnsi="宋体" w:cs="宋体"/>
              </w:rPr>
            </w:pPr>
          </w:p>
        </w:tc>
        <w:tc>
          <w:tcPr>
            <w:tcW w:w="2421" w:type="dxa"/>
            <w:tcBorders>
              <w:top w:val="single" w:color="auto" w:sz="6" w:space="0"/>
            </w:tcBorders>
            <w:vAlign w:val="top"/>
          </w:tcPr>
          <w:p>
            <w:pPr>
              <w:spacing w:before="156" w:after="156" w:line="400" w:lineRule="exact"/>
              <w:rPr>
                <w:rFonts w:hint="eastAsia" w:ascii="宋体" w:hAnsi="宋体" w:cs="宋体"/>
              </w:rPr>
            </w:pPr>
          </w:p>
        </w:tc>
        <w:tc>
          <w:tcPr>
            <w:tcW w:w="3332" w:type="dxa"/>
            <w:tcBorders>
              <w:top w:val="single" w:color="auto" w:sz="6" w:space="0"/>
            </w:tcBorders>
            <w:vAlign w:val="top"/>
          </w:tcPr>
          <w:p>
            <w:pPr>
              <w:spacing w:before="156" w:after="156" w:line="400" w:lineRule="exac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3307" w:type="dxa"/>
            <w:vAlign w:val="top"/>
          </w:tcPr>
          <w:p>
            <w:pPr>
              <w:spacing w:before="156" w:after="156" w:line="400" w:lineRule="exact"/>
              <w:rPr>
                <w:rFonts w:hint="eastAsia" w:ascii="宋体" w:hAnsi="宋体" w:cs="宋体"/>
              </w:rPr>
            </w:pPr>
          </w:p>
        </w:tc>
        <w:tc>
          <w:tcPr>
            <w:tcW w:w="2421" w:type="dxa"/>
            <w:vAlign w:val="top"/>
          </w:tcPr>
          <w:p>
            <w:pPr>
              <w:spacing w:before="156" w:after="156" w:line="400" w:lineRule="exact"/>
              <w:rPr>
                <w:rFonts w:hint="eastAsia" w:ascii="宋体" w:hAnsi="宋体" w:cs="宋体"/>
              </w:rPr>
            </w:pPr>
          </w:p>
        </w:tc>
        <w:tc>
          <w:tcPr>
            <w:tcW w:w="3332" w:type="dxa"/>
            <w:vAlign w:val="top"/>
          </w:tcPr>
          <w:p>
            <w:pPr>
              <w:spacing w:before="156" w:after="156" w:line="400" w:lineRule="exact"/>
              <w:rPr>
                <w:rFonts w:hint="eastAsia" w:ascii="宋体" w:hAnsi="宋体" w:cs="宋体"/>
              </w:rPr>
            </w:pPr>
          </w:p>
        </w:tc>
      </w:tr>
    </w:tbl>
    <w:p>
      <w:pPr>
        <w:spacing w:line="360" w:lineRule="auto"/>
        <w:rPr>
          <w:rFonts w:hint="eastAsia" w:ascii="宋体" w:hAnsi="宋体" w:cs="宋体"/>
        </w:rPr>
      </w:pPr>
      <w:r>
        <w:rPr>
          <w:rFonts w:hint="eastAsia" w:ascii="宋体" w:hAnsi="宋体" w:cs="宋体"/>
        </w:rPr>
        <w:t>六、投标人资格条件证明文件</w:t>
      </w:r>
    </w:p>
    <w:p>
      <w:pPr>
        <w:spacing w:before="156" w:after="156" w:line="400" w:lineRule="exact"/>
        <w:ind w:firstLine="422" w:firstLineChars="200"/>
        <w:rPr>
          <w:rFonts w:hint="eastAsia" w:ascii="宋体" w:hAnsi="宋体" w:cs="宋体"/>
          <w:b/>
        </w:rPr>
      </w:pPr>
      <w:r>
        <w:rPr>
          <w:rFonts w:hint="eastAsia" w:ascii="宋体" w:hAnsi="宋体" w:cs="宋体"/>
          <w:b/>
        </w:rPr>
        <w:t>投标人必须按照本招标文件第一部分《投标邀请函》的“投标人资格要求”要求提供相关证明文件复印件（加盖公章）。</w:t>
      </w:r>
    </w:p>
    <w:p>
      <w:pPr>
        <w:spacing w:before="156" w:after="156" w:line="400" w:lineRule="exact"/>
        <w:rPr>
          <w:rFonts w:hint="eastAsia" w:ascii="宋体" w:hAnsi="宋体" w:cs="宋体"/>
        </w:rPr>
      </w:pPr>
      <w:r>
        <w:rPr>
          <w:rFonts w:hint="eastAsia" w:ascii="宋体" w:hAnsi="宋体" w:cs="宋体"/>
        </w:rPr>
        <w:t>七、其他</w:t>
      </w:r>
    </w:p>
    <w:p>
      <w:pPr>
        <w:spacing w:before="156" w:after="156" w:line="400" w:lineRule="exact"/>
        <w:ind w:firstLine="315" w:firstLineChars="150"/>
        <w:rPr>
          <w:rFonts w:hint="eastAsia" w:ascii="宋体" w:hAnsi="宋体" w:cs="宋体"/>
        </w:rPr>
      </w:pPr>
      <w:r>
        <w:rPr>
          <w:rFonts w:hint="eastAsia" w:ascii="宋体" w:hAnsi="宋体" w:cs="宋体"/>
        </w:rPr>
        <w:t>1、近3年完成及正在执行的合同中发生的由于投标人违约或部份违约而引起诉讼和受到索赔的案件具体情况及结果（须如实填写，若对此进行隐瞒，尔后又被采购人或采购代理机构发现，或被它人举证成立，其投标资格将被取消）。</w:t>
      </w:r>
    </w:p>
    <w:tbl>
      <w:tblPr>
        <w:tblStyle w:val="55"/>
        <w:tblW w:w="9288"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3060"/>
        <w:gridCol w:w="3240"/>
        <w:gridCol w:w="1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38" w:hRule="atLeast"/>
          <w:jc w:val="center"/>
        </w:trPr>
        <w:tc>
          <w:tcPr>
            <w:tcW w:w="1368" w:type="dxa"/>
            <w:tcBorders>
              <w:top w:val="double" w:color="auto" w:sz="4" w:space="0"/>
              <w:bottom w:val="single" w:color="auto" w:sz="6" w:space="0"/>
            </w:tcBorders>
            <w:shd w:val="clear" w:color="auto" w:fill="E0E0E0"/>
            <w:vAlign w:val="center"/>
          </w:tcPr>
          <w:p>
            <w:pPr>
              <w:pStyle w:val="7"/>
              <w:ind w:left="0" w:leftChars="0" w:firstLine="0" w:firstLineChars="0"/>
              <w:jc w:val="center"/>
              <w:rPr>
                <w:rFonts w:hint="eastAsia" w:ascii="宋体" w:hAnsi="宋体" w:cs="宋体"/>
                <w:b/>
                <w:szCs w:val="21"/>
              </w:rPr>
            </w:pPr>
            <w:r>
              <w:rPr>
                <w:rFonts w:hint="eastAsia" w:ascii="宋体" w:hAnsi="宋体" w:cs="宋体"/>
                <w:b/>
                <w:szCs w:val="21"/>
              </w:rPr>
              <w:t>时 间</w:t>
            </w:r>
          </w:p>
        </w:tc>
        <w:tc>
          <w:tcPr>
            <w:tcW w:w="3060" w:type="dxa"/>
            <w:tcBorders>
              <w:top w:val="double" w:color="auto" w:sz="4" w:space="0"/>
              <w:bottom w:val="single" w:color="auto" w:sz="6" w:space="0"/>
            </w:tcBorders>
            <w:shd w:val="clear" w:color="auto" w:fill="E0E0E0"/>
            <w:vAlign w:val="center"/>
          </w:tcPr>
          <w:p>
            <w:pPr>
              <w:pStyle w:val="7"/>
              <w:ind w:left="0" w:leftChars="0" w:firstLine="0" w:firstLineChars="0"/>
              <w:jc w:val="center"/>
              <w:rPr>
                <w:rFonts w:hint="eastAsia" w:ascii="宋体" w:hAnsi="宋体" w:cs="宋体"/>
                <w:b/>
                <w:szCs w:val="21"/>
              </w:rPr>
            </w:pPr>
            <w:r>
              <w:rPr>
                <w:rFonts w:hint="eastAsia" w:ascii="宋体" w:hAnsi="宋体" w:cs="宋体"/>
                <w:b/>
                <w:szCs w:val="21"/>
              </w:rPr>
              <w:t>受处理的原因</w:t>
            </w:r>
          </w:p>
          <w:p>
            <w:pPr>
              <w:pStyle w:val="7"/>
              <w:jc w:val="center"/>
              <w:rPr>
                <w:rFonts w:hint="eastAsia" w:ascii="宋体" w:hAnsi="宋体" w:cs="宋体"/>
                <w:szCs w:val="21"/>
              </w:rPr>
            </w:pPr>
          </w:p>
        </w:tc>
        <w:tc>
          <w:tcPr>
            <w:tcW w:w="3240" w:type="dxa"/>
            <w:tcBorders>
              <w:top w:val="double" w:color="auto" w:sz="4" w:space="0"/>
              <w:bottom w:val="single" w:color="auto" w:sz="6" w:space="0"/>
            </w:tcBorders>
            <w:shd w:val="clear" w:color="auto" w:fill="E0E0E0"/>
            <w:vAlign w:val="center"/>
          </w:tcPr>
          <w:p>
            <w:pPr>
              <w:pStyle w:val="7"/>
              <w:ind w:left="0" w:leftChars="0" w:firstLine="0" w:firstLineChars="0"/>
              <w:jc w:val="center"/>
              <w:rPr>
                <w:rFonts w:hint="eastAsia" w:ascii="宋体" w:hAnsi="宋体" w:cs="宋体"/>
                <w:b/>
                <w:szCs w:val="21"/>
              </w:rPr>
            </w:pPr>
            <w:r>
              <w:rPr>
                <w:rFonts w:hint="eastAsia" w:ascii="宋体" w:hAnsi="宋体" w:cs="宋体"/>
                <w:b/>
                <w:szCs w:val="21"/>
              </w:rPr>
              <w:t>处理的内容</w:t>
            </w:r>
          </w:p>
          <w:p>
            <w:pPr>
              <w:pStyle w:val="7"/>
              <w:jc w:val="center"/>
              <w:rPr>
                <w:rFonts w:hint="eastAsia" w:ascii="宋体" w:hAnsi="宋体" w:cs="宋体"/>
                <w:szCs w:val="21"/>
              </w:rPr>
            </w:pPr>
          </w:p>
        </w:tc>
        <w:tc>
          <w:tcPr>
            <w:tcW w:w="1620" w:type="dxa"/>
            <w:tcBorders>
              <w:top w:val="double" w:color="auto" w:sz="4" w:space="0"/>
              <w:bottom w:val="single" w:color="auto" w:sz="6" w:space="0"/>
            </w:tcBorders>
            <w:shd w:val="clear" w:color="auto" w:fill="E0E0E0"/>
            <w:vAlign w:val="center"/>
          </w:tcPr>
          <w:p>
            <w:pPr>
              <w:pStyle w:val="7"/>
              <w:ind w:left="0" w:leftChars="0" w:firstLine="0" w:firstLineChars="0"/>
              <w:jc w:val="center"/>
              <w:rPr>
                <w:rFonts w:hint="eastAsia" w:ascii="宋体" w:hAnsi="宋体" w:cs="宋体"/>
                <w:b/>
                <w:szCs w:val="21"/>
              </w:rPr>
            </w:pPr>
            <w:r>
              <w:rPr>
                <w:rFonts w:hint="eastAsia" w:ascii="宋体" w:hAnsi="宋体" w:cs="宋体"/>
                <w:b/>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jc w:val="center"/>
        </w:trPr>
        <w:tc>
          <w:tcPr>
            <w:tcW w:w="1368" w:type="dxa"/>
            <w:tcBorders>
              <w:top w:val="single" w:color="auto" w:sz="6" w:space="0"/>
            </w:tcBorders>
            <w:vAlign w:val="top"/>
          </w:tcPr>
          <w:p>
            <w:pPr>
              <w:pStyle w:val="7"/>
              <w:rPr>
                <w:rFonts w:hint="eastAsia" w:ascii="宋体" w:hAnsi="宋体" w:cs="宋体"/>
              </w:rPr>
            </w:pPr>
          </w:p>
        </w:tc>
        <w:tc>
          <w:tcPr>
            <w:tcW w:w="3060" w:type="dxa"/>
            <w:tcBorders>
              <w:top w:val="single" w:color="auto" w:sz="6" w:space="0"/>
            </w:tcBorders>
            <w:vAlign w:val="top"/>
          </w:tcPr>
          <w:p>
            <w:pPr>
              <w:pStyle w:val="7"/>
              <w:rPr>
                <w:rFonts w:hint="eastAsia" w:ascii="宋体" w:hAnsi="宋体" w:cs="宋体"/>
              </w:rPr>
            </w:pPr>
          </w:p>
        </w:tc>
        <w:tc>
          <w:tcPr>
            <w:tcW w:w="3240" w:type="dxa"/>
            <w:tcBorders>
              <w:top w:val="single" w:color="auto" w:sz="6" w:space="0"/>
            </w:tcBorders>
            <w:vAlign w:val="top"/>
          </w:tcPr>
          <w:p>
            <w:pPr>
              <w:pStyle w:val="7"/>
              <w:rPr>
                <w:rFonts w:hint="eastAsia" w:ascii="宋体" w:hAnsi="宋体" w:cs="宋体"/>
              </w:rPr>
            </w:pPr>
          </w:p>
        </w:tc>
        <w:tc>
          <w:tcPr>
            <w:tcW w:w="1620" w:type="dxa"/>
            <w:tcBorders>
              <w:top w:val="single" w:color="auto" w:sz="6" w:space="0"/>
            </w:tcBorders>
            <w:vAlign w:val="top"/>
          </w:tcPr>
          <w:p>
            <w:pPr>
              <w:pStyle w:val="7"/>
              <w:rPr>
                <w:rFonts w:hint="eastAsia" w:ascii="宋体" w:hAnsi="宋体" w:cs="宋体"/>
              </w:rPr>
            </w:pPr>
          </w:p>
        </w:tc>
      </w:tr>
    </w:tbl>
    <w:p>
      <w:pPr>
        <w:pStyle w:val="7"/>
        <w:spacing w:line="360" w:lineRule="auto"/>
        <w:rPr>
          <w:rFonts w:hint="eastAsia" w:ascii="宋体" w:hAnsi="宋体" w:cs="宋体"/>
        </w:rPr>
      </w:pPr>
    </w:p>
    <w:p>
      <w:pPr>
        <w:pStyle w:val="7"/>
        <w:spacing w:line="360" w:lineRule="auto"/>
        <w:rPr>
          <w:rFonts w:hint="eastAsia" w:ascii="宋体" w:hAnsi="宋体" w:cs="宋体"/>
        </w:rPr>
      </w:pPr>
      <w:r>
        <w:rPr>
          <w:rFonts w:hint="eastAsia" w:ascii="宋体" w:hAnsi="宋体" w:cs="宋体"/>
        </w:rPr>
        <w:t xml:space="preserve">2、其他投标人认为有必要提供的其他证明有关技术、资金实力的资质材料，所有证明文件需提供复印件（加盖公章）                            </w:t>
      </w:r>
      <w:r>
        <w:rPr>
          <w:rFonts w:hint="eastAsia" w:ascii="宋体" w:hAnsi="宋体" w:cs="宋体"/>
        </w:rPr>
        <w:tab/>
      </w:r>
    </w:p>
    <w:p>
      <w:pPr>
        <w:spacing w:before="120" w:beforeLines="50" w:after="120" w:afterLines="50" w:line="360" w:lineRule="exact"/>
        <w:rPr>
          <w:rFonts w:hint="eastAsia" w:ascii="宋体" w:hAnsi="宋体" w:cs="宋体"/>
        </w:rPr>
      </w:pPr>
      <w:r>
        <w:rPr>
          <w:rFonts w:hint="eastAsia" w:ascii="宋体" w:hAnsi="宋体" w:cs="宋体"/>
        </w:rPr>
        <w:t xml:space="preserve">    我们承诺上述提供资料真实正确无误，愿意接受任何有必要的核实和调查。</w:t>
      </w:r>
    </w:p>
    <w:p>
      <w:pPr>
        <w:spacing w:line="360" w:lineRule="auto"/>
        <w:ind w:firstLine="5938" w:firstLineChars="2828"/>
        <w:rPr>
          <w:rFonts w:hint="eastAsia" w:ascii="宋体" w:hAnsi="宋体" w:cs="宋体"/>
        </w:rPr>
      </w:pPr>
      <w:r>
        <w:rPr>
          <w:rFonts w:hint="eastAsia" w:ascii="宋体" w:hAnsi="宋体" w:cs="宋体"/>
          <w:szCs w:val="21"/>
        </w:rPr>
        <w:t>投标人名称</w:t>
      </w:r>
      <w:r>
        <w:rPr>
          <w:rFonts w:hint="eastAsia" w:ascii="宋体" w:hAnsi="宋体" w:cs="宋体"/>
        </w:rPr>
        <w:t>（加盖公章）：</w:t>
      </w:r>
    </w:p>
    <w:p>
      <w:pPr>
        <w:spacing w:line="360" w:lineRule="auto"/>
        <w:jc w:val="right"/>
        <w:rPr>
          <w:rFonts w:hint="eastAsia" w:ascii="宋体" w:hAnsi="宋体" w:cs="宋体"/>
        </w:rPr>
      </w:pPr>
      <w:r>
        <w:rPr>
          <w:rFonts w:hint="eastAsia" w:ascii="宋体" w:hAnsi="宋体" w:cs="宋体"/>
        </w:rPr>
        <w:t>法定代表人或授权委托人（</w:t>
      </w:r>
      <w:r>
        <w:rPr>
          <w:rFonts w:hint="eastAsia" w:ascii="宋体" w:hAnsi="宋体" w:cs="宋体"/>
          <w:szCs w:val="21"/>
        </w:rPr>
        <w:t>签名或盖章</w:t>
      </w:r>
      <w:r>
        <w:rPr>
          <w:rFonts w:hint="eastAsia" w:ascii="宋体" w:hAnsi="宋体" w:cs="宋体"/>
        </w:rPr>
        <w:t xml:space="preserve">）： </w:t>
      </w:r>
    </w:p>
    <w:p>
      <w:pPr>
        <w:spacing w:line="360" w:lineRule="auto"/>
        <w:ind w:firstLine="5938" w:firstLineChars="2828"/>
        <w:rPr>
          <w:rFonts w:hint="eastAsia" w:ascii="宋体" w:hAnsi="宋体" w:cs="宋体"/>
        </w:rPr>
      </w:pPr>
      <w:r>
        <w:rPr>
          <w:rFonts w:hint="eastAsia" w:ascii="宋体" w:hAnsi="宋体" w:cs="宋体"/>
        </w:rPr>
        <w:t>日  期：</w:t>
      </w:r>
    </w:p>
    <w:p>
      <w:pPr>
        <w:spacing w:line="360" w:lineRule="auto"/>
        <w:rPr>
          <w:rFonts w:hint="eastAsia" w:ascii="宋体" w:hAnsi="宋体" w:cs="宋体"/>
          <w:sz w:val="28"/>
          <w:szCs w:val="28"/>
        </w:rPr>
      </w:pPr>
      <w:bookmarkStart w:id="62" w:name="_Toc421205760"/>
      <w:bookmarkStart w:id="63" w:name="_Toc420684763"/>
      <w:bookmarkStart w:id="64" w:name="_Toc421004197"/>
    </w:p>
    <w:p>
      <w:pPr>
        <w:spacing w:line="360" w:lineRule="auto"/>
        <w:rPr>
          <w:rFonts w:hint="eastAsia" w:ascii="宋体" w:hAnsi="宋体" w:cs="宋体"/>
          <w:sz w:val="28"/>
          <w:szCs w:val="28"/>
        </w:rPr>
      </w:pPr>
    </w:p>
    <w:p>
      <w:pPr>
        <w:spacing w:line="360" w:lineRule="auto"/>
        <w:rPr>
          <w:rFonts w:hint="eastAsia" w:ascii="宋体" w:hAnsi="宋体" w:cs="宋体"/>
        </w:rPr>
      </w:pPr>
      <w:r>
        <w:rPr>
          <w:rFonts w:hint="eastAsia" w:ascii="宋体" w:hAnsi="宋体" w:cs="宋体"/>
          <w:sz w:val="28"/>
          <w:szCs w:val="28"/>
        </w:rPr>
        <w:t>表5-8  售后服务机构情况表</w:t>
      </w:r>
      <w:bookmarkEnd w:id="62"/>
      <w:bookmarkEnd w:id="63"/>
      <w:bookmarkEnd w:id="64"/>
    </w:p>
    <w:p>
      <w:pPr>
        <w:rPr>
          <w:rFonts w:hint="eastAsia" w:ascii="宋体" w:hAnsi="宋体" w:cs="宋体"/>
        </w:rPr>
      </w:pPr>
    </w:p>
    <w:p>
      <w:pPr>
        <w:pStyle w:val="7"/>
        <w:spacing w:line="360" w:lineRule="auto"/>
        <w:rPr>
          <w:rFonts w:hint="eastAsia" w:ascii="宋体" w:hAnsi="宋体" w:cs="宋体"/>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p>
    <w:tbl>
      <w:tblPr>
        <w:tblStyle w:val="55"/>
        <w:tblW w:w="10689"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3"/>
        <w:gridCol w:w="774"/>
        <w:gridCol w:w="733"/>
        <w:gridCol w:w="592"/>
        <w:gridCol w:w="891"/>
        <w:gridCol w:w="393"/>
        <w:gridCol w:w="1112"/>
        <w:gridCol w:w="915"/>
        <w:gridCol w:w="763"/>
        <w:gridCol w:w="1768"/>
        <w:gridCol w:w="804"/>
        <w:gridCol w:w="10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2450" w:type="dxa"/>
            <w:gridSpan w:val="3"/>
            <w:vAlign w:val="center"/>
          </w:tcPr>
          <w:p>
            <w:pPr>
              <w:jc w:val="center"/>
              <w:rPr>
                <w:rFonts w:hint="eastAsia" w:ascii="宋体" w:hAnsi="宋体" w:cs="宋体"/>
                <w:b/>
                <w:bCs/>
                <w:szCs w:val="21"/>
              </w:rPr>
            </w:pPr>
            <w:r>
              <w:rPr>
                <w:rFonts w:hint="eastAsia" w:ascii="宋体" w:hAnsi="宋体" w:cs="宋体"/>
                <w:b/>
                <w:bCs/>
                <w:szCs w:val="21"/>
              </w:rPr>
              <w:t>服务中心</w:t>
            </w:r>
          </w:p>
          <w:p>
            <w:pPr>
              <w:jc w:val="center"/>
              <w:rPr>
                <w:rFonts w:hint="eastAsia" w:ascii="宋体" w:hAnsi="宋体" w:cs="宋体"/>
                <w:b/>
                <w:szCs w:val="21"/>
              </w:rPr>
            </w:pPr>
            <w:r>
              <w:rPr>
                <w:rFonts w:hint="eastAsia" w:ascii="宋体" w:hAnsi="宋体" w:cs="宋体"/>
                <w:b/>
                <w:bCs/>
                <w:szCs w:val="21"/>
              </w:rPr>
              <w:t>名称</w:t>
            </w:r>
          </w:p>
        </w:tc>
        <w:tc>
          <w:tcPr>
            <w:tcW w:w="8239" w:type="dxa"/>
            <w:gridSpan w:val="9"/>
            <w:vAlign w:val="center"/>
          </w:tcPr>
          <w:p>
            <w:pP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2450" w:type="dxa"/>
            <w:gridSpan w:val="3"/>
            <w:vAlign w:val="center"/>
          </w:tcPr>
          <w:p>
            <w:pPr>
              <w:jc w:val="center"/>
              <w:rPr>
                <w:rFonts w:hint="eastAsia" w:ascii="宋体" w:hAnsi="宋体" w:cs="宋体"/>
                <w:b/>
                <w:bCs/>
                <w:szCs w:val="21"/>
              </w:rPr>
            </w:pPr>
            <w:r>
              <w:rPr>
                <w:rFonts w:hint="eastAsia" w:ascii="宋体" w:hAnsi="宋体" w:cs="宋体"/>
                <w:b/>
                <w:bCs/>
                <w:szCs w:val="21"/>
              </w:rPr>
              <w:t>服务部门</w:t>
            </w:r>
          </w:p>
          <w:p>
            <w:pPr>
              <w:jc w:val="center"/>
              <w:rPr>
                <w:rFonts w:hint="eastAsia" w:ascii="宋体" w:hAnsi="宋体" w:cs="宋体"/>
                <w:b/>
                <w:bCs/>
                <w:szCs w:val="21"/>
              </w:rPr>
            </w:pPr>
            <w:r>
              <w:rPr>
                <w:rFonts w:hint="eastAsia" w:ascii="宋体" w:hAnsi="宋体" w:cs="宋体"/>
                <w:b/>
                <w:bCs/>
                <w:szCs w:val="21"/>
              </w:rPr>
              <w:t>总人数量</w:t>
            </w:r>
          </w:p>
        </w:tc>
        <w:tc>
          <w:tcPr>
            <w:tcW w:w="8239" w:type="dxa"/>
            <w:gridSpan w:val="9"/>
            <w:vAlign w:val="center"/>
          </w:tcPr>
          <w:p>
            <w:pPr>
              <w:ind w:left="3551"/>
              <w:rPr>
                <w:rFonts w:hint="eastAsia" w:ascii="宋体" w:hAnsi="宋体" w:cs="宋体"/>
                <w:b/>
                <w:bCs/>
                <w:szCs w:val="21"/>
              </w:rPr>
            </w:pPr>
          </w:p>
          <w:p>
            <w:pP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450" w:type="dxa"/>
            <w:gridSpan w:val="3"/>
            <w:vAlign w:val="center"/>
          </w:tcPr>
          <w:p>
            <w:pPr>
              <w:jc w:val="center"/>
              <w:rPr>
                <w:rFonts w:hint="eastAsia" w:ascii="宋体" w:hAnsi="宋体" w:cs="宋体"/>
                <w:b/>
                <w:szCs w:val="21"/>
              </w:rPr>
            </w:pPr>
            <w:r>
              <w:rPr>
                <w:rFonts w:hint="eastAsia" w:ascii="宋体" w:hAnsi="宋体" w:cs="宋体"/>
                <w:b/>
                <w:bCs/>
                <w:szCs w:val="21"/>
              </w:rPr>
              <w:t>地址</w:t>
            </w:r>
          </w:p>
        </w:tc>
        <w:tc>
          <w:tcPr>
            <w:tcW w:w="4666" w:type="dxa"/>
            <w:gridSpan w:val="6"/>
            <w:vAlign w:val="center"/>
          </w:tcPr>
          <w:p>
            <w:pPr>
              <w:rPr>
                <w:rFonts w:hint="eastAsia" w:ascii="宋体" w:hAnsi="宋体" w:cs="宋体"/>
                <w:b/>
                <w:szCs w:val="21"/>
              </w:rPr>
            </w:pPr>
          </w:p>
        </w:tc>
        <w:tc>
          <w:tcPr>
            <w:tcW w:w="1768" w:type="dxa"/>
            <w:vAlign w:val="center"/>
          </w:tcPr>
          <w:p>
            <w:pPr>
              <w:jc w:val="center"/>
              <w:rPr>
                <w:rFonts w:hint="eastAsia" w:ascii="宋体" w:hAnsi="宋体" w:cs="宋体"/>
                <w:b/>
                <w:szCs w:val="21"/>
              </w:rPr>
            </w:pPr>
            <w:r>
              <w:rPr>
                <w:rFonts w:hint="eastAsia" w:ascii="宋体" w:hAnsi="宋体" w:cs="宋体"/>
                <w:b/>
                <w:bCs/>
                <w:szCs w:val="21"/>
              </w:rPr>
              <w:t>负责人</w:t>
            </w:r>
          </w:p>
        </w:tc>
        <w:tc>
          <w:tcPr>
            <w:tcW w:w="1805" w:type="dxa"/>
            <w:gridSpan w:val="2"/>
            <w:vAlign w:val="center"/>
          </w:tcPr>
          <w:p>
            <w:pPr>
              <w:ind w:left="696"/>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jc w:val="center"/>
        </w:trPr>
        <w:tc>
          <w:tcPr>
            <w:tcW w:w="2450" w:type="dxa"/>
            <w:gridSpan w:val="3"/>
            <w:vAlign w:val="center"/>
          </w:tcPr>
          <w:p>
            <w:pPr>
              <w:jc w:val="center"/>
              <w:rPr>
                <w:rFonts w:hint="eastAsia" w:ascii="宋体" w:hAnsi="宋体" w:cs="宋体"/>
                <w:b/>
                <w:szCs w:val="21"/>
              </w:rPr>
            </w:pPr>
            <w:r>
              <w:rPr>
                <w:rFonts w:hint="eastAsia" w:ascii="宋体" w:hAnsi="宋体" w:cs="宋体"/>
                <w:b/>
                <w:bCs/>
                <w:szCs w:val="21"/>
              </w:rPr>
              <w:t>电话</w:t>
            </w:r>
          </w:p>
        </w:tc>
        <w:tc>
          <w:tcPr>
            <w:tcW w:w="1876" w:type="dxa"/>
            <w:gridSpan w:val="3"/>
            <w:vAlign w:val="center"/>
          </w:tcPr>
          <w:p>
            <w:pPr>
              <w:rPr>
                <w:rFonts w:hint="eastAsia" w:ascii="宋体" w:hAnsi="宋体" w:cs="宋体"/>
                <w:b/>
                <w:szCs w:val="21"/>
              </w:rPr>
            </w:pPr>
          </w:p>
        </w:tc>
        <w:tc>
          <w:tcPr>
            <w:tcW w:w="1112" w:type="dxa"/>
            <w:vAlign w:val="center"/>
          </w:tcPr>
          <w:p>
            <w:pPr>
              <w:jc w:val="center"/>
              <w:rPr>
                <w:rFonts w:hint="eastAsia" w:ascii="宋体" w:hAnsi="宋体" w:cs="宋体"/>
                <w:b/>
                <w:szCs w:val="21"/>
              </w:rPr>
            </w:pPr>
            <w:r>
              <w:rPr>
                <w:rFonts w:hint="eastAsia" w:ascii="宋体" w:hAnsi="宋体" w:cs="宋体"/>
                <w:b/>
                <w:szCs w:val="21"/>
              </w:rPr>
              <w:t>传真</w:t>
            </w:r>
          </w:p>
        </w:tc>
        <w:tc>
          <w:tcPr>
            <w:tcW w:w="1678" w:type="dxa"/>
            <w:gridSpan w:val="2"/>
            <w:vAlign w:val="center"/>
          </w:tcPr>
          <w:p>
            <w:pPr>
              <w:jc w:val="center"/>
              <w:rPr>
                <w:rFonts w:hint="eastAsia" w:ascii="宋体" w:hAnsi="宋体" w:cs="宋体"/>
                <w:b/>
                <w:szCs w:val="21"/>
              </w:rPr>
            </w:pPr>
          </w:p>
        </w:tc>
        <w:tc>
          <w:tcPr>
            <w:tcW w:w="1768" w:type="dxa"/>
            <w:vAlign w:val="center"/>
          </w:tcPr>
          <w:p>
            <w:pPr>
              <w:jc w:val="center"/>
              <w:rPr>
                <w:rFonts w:hint="eastAsia" w:ascii="宋体" w:hAnsi="宋体" w:cs="宋体"/>
                <w:b/>
                <w:szCs w:val="21"/>
              </w:rPr>
            </w:pPr>
            <w:r>
              <w:rPr>
                <w:rFonts w:hint="eastAsia" w:ascii="宋体" w:hAnsi="宋体" w:cs="宋体"/>
                <w:b/>
                <w:szCs w:val="21"/>
              </w:rPr>
              <w:t>公司网址</w:t>
            </w:r>
          </w:p>
        </w:tc>
        <w:tc>
          <w:tcPr>
            <w:tcW w:w="1805" w:type="dxa"/>
            <w:gridSpan w:val="2"/>
            <w:vAlign w:val="center"/>
          </w:tcPr>
          <w:p>
            <w:pPr>
              <w:jc w:val="cente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95" w:hRule="atLeast"/>
          <w:jc w:val="center"/>
        </w:trPr>
        <w:tc>
          <w:tcPr>
            <w:tcW w:w="2450" w:type="dxa"/>
            <w:gridSpan w:val="3"/>
            <w:vAlign w:val="center"/>
          </w:tcPr>
          <w:p>
            <w:pPr>
              <w:jc w:val="center"/>
              <w:rPr>
                <w:rFonts w:hint="eastAsia" w:ascii="宋体" w:hAnsi="宋体" w:cs="宋体"/>
                <w:b/>
                <w:szCs w:val="21"/>
                <w:highlight w:val="none"/>
              </w:rPr>
            </w:pPr>
            <w:r>
              <w:rPr>
                <w:rFonts w:hint="eastAsia" w:ascii="宋体" w:hAnsi="宋体" w:cs="宋体"/>
                <w:b/>
                <w:bCs/>
                <w:szCs w:val="21"/>
                <w:highlight w:val="none"/>
              </w:rPr>
              <w:t>服务情况、服务业绩情况等</w:t>
            </w:r>
          </w:p>
        </w:tc>
        <w:tc>
          <w:tcPr>
            <w:tcW w:w="8239" w:type="dxa"/>
            <w:gridSpan w:val="9"/>
            <w:vAlign w:val="center"/>
          </w:tcPr>
          <w:p>
            <w:pPr>
              <w:jc w:val="cente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95" w:hRule="atLeast"/>
          <w:jc w:val="center"/>
        </w:trPr>
        <w:tc>
          <w:tcPr>
            <w:tcW w:w="2450" w:type="dxa"/>
            <w:gridSpan w:val="3"/>
            <w:vAlign w:val="center"/>
          </w:tcPr>
          <w:p>
            <w:pPr>
              <w:jc w:val="center"/>
              <w:rPr>
                <w:rFonts w:hint="eastAsia" w:ascii="宋体" w:hAnsi="宋体" w:cs="宋体"/>
                <w:b/>
                <w:bCs/>
                <w:szCs w:val="21"/>
                <w:highlight w:val="none"/>
              </w:rPr>
            </w:pPr>
            <w:r>
              <w:rPr>
                <w:rFonts w:hint="eastAsia" w:ascii="宋体" w:hAnsi="宋体" w:cs="宋体"/>
                <w:b/>
                <w:bCs/>
                <w:szCs w:val="21"/>
                <w:highlight w:val="none"/>
              </w:rPr>
              <w:t>用于服务的通讯、办公、检测设备</w:t>
            </w:r>
          </w:p>
        </w:tc>
        <w:tc>
          <w:tcPr>
            <w:tcW w:w="8239" w:type="dxa"/>
            <w:gridSpan w:val="9"/>
            <w:vAlign w:val="center"/>
          </w:tcPr>
          <w:p>
            <w:pPr>
              <w:jc w:val="cente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4" w:hRule="atLeast"/>
          <w:jc w:val="center"/>
        </w:trPr>
        <w:tc>
          <w:tcPr>
            <w:tcW w:w="2450" w:type="dxa"/>
            <w:gridSpan w:val="3"/>
            <w:vAlign w:val="center"/>
          </w:tcPr>
          <w:p>
            <w:pPr>
              <w:jc w:val="center"/>
              <w:rPr>
                <w:rFonts w:hint="eastAsia" w:ascii="宋体" w:hAnsi="宋体" w:cs="宋体"/>
                <w:b/>
                <w:bCs/>
                <w:szCs w:val="21"/>
              </w:rPr>
            </w:pPr>
            <w:r>
              <w:rPr>
                <w:rFonts w:hint="eastAsia" w:ascii="宋体" w:hAnsi="宋体" w:cs="宋体"/>
                <w:b/>
                <w:bCs/>
                <w:szCs w:val="21"/>
              </w:rPr>
              <w:t>服务负责人</w:t>
            </w:r>
          </w:p>
        </w:tc>
        <w:tc>
          <w:tcPr>
            <w:tcW w:w="1876" w:type="dxa"/>
            <w:gridSpan w:val="3"/>
            <w:vAlign w:val="center"/>
          </w:tcPr>
          <w:p>
            <w:pPr>
              <w:jc w:val="center"/>
              <w:rPr>
                <w:rFonts w:hint="eastAsia" w:ascii="宋体" w:hAnsi="宋体" w:cs="宋体"/>
                <w:b/>
                <w:szCs w:val="21"/>
              </w:rPr>
            </w:pPr>
          </w:p>
        </w:tc>
        <w:tc>
          <w:tcPr>
            <w:tcW w:w="1112" w:type="dxa"/>
            <w:vAlign w:val="center"/>
          </w:tcPr>
          <w:p>
            <w:pPr>
              <w:jc w:val="center"/>
              <w:rPr>
                <w:rFonts w:hint="eastAsia" w:ascii="宋体" w:hAnsi="宋体" w:cs="宋体"/>
                <w:b/>
                <w:szCs w:val="21"/>
              </w:rPr>
            </w:pPr>
            <w:r>
              <w:rPr>
                <w:rFonts w:hint="eastAsia" w:ascii="宋体" w:hAnsi="宋体" w:cs="宋体"/>
                <w:b/>
                <w:szCs w:val="21"/>
              </w:rPr>
              <w:t>电话</w:t>
            </w:r>
          </w:p>
        </w:tc>
        <w:tc>
          <w:tcPr>
            <w:tcW w:w="1678" w:type="dxa"/>
            <w:gridSpan w:val="2"/>
            <w:vAlign w:val="center"/>
          </w:tcPr>
          <w:p>
            <w:pPr>
              <w:jc w:val="center"/>
              <w:rPr>
                <w:rFonts w:hint="eastAsia" w:ascii="宋体" w:hAnsi="宋体" w:cs="宋体"/>
                <w:b/>
                <w:szCs w:val="21"/>
              </w:rPr>
            </w:pPr>
          </w:p>
        </w:tc>
        <w:tc>
          <w:tcPr>
            <w:tcW w:w="1768" w:type="dxa"/>
            <w:vAlign w:val="center"/>
          </w:tcPr>
          <w:p>
            <w:pPr>
              <w:jc w:val="center"/>
              <w:rPr>
                <w:rFonts w:hint="eastAsia" w:ascii="宋体" w:hAnsi="宋体" w:cs="宋体"/>
                <w:b/>
                <w:szCs w:val="21"/>
              </w:rPr>
            </w:pPr>
            <w:r>
              <w:rPr>
                <w:rFonts w:hint="eastAsia" w:ascii="宋体" w:hAnsi="宋体" w:cs="宋体"/>
                <w:b/>
                <w:szCs w:val="21"/>
              </w:rPr>
              <w:t>移动电话</w:t>
            </w:r>
          </w:p>
        </w:tc>
        <w:tc>
          <w:tcPr>
            <w:tcW w:w="1805" w:type="dxa"/>
            <w:gridSpan w:val="2"/>
            <w:vAlign w:val="center"/>
          </w:tcPr>
          <w:p>
            <w:pPr>
              <w:jc w:val="cente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jc w:val="center"/>
        </w:trPr>
        <w:tc>
          <w:tcPr>
            <w:tcW w:w="10689" w:type="dxa"/>
            <w:gridSpan w:val="12"/>
            <w:vAlign w:val="center"/>
          </w:tcPr>
          <w:p>
            <w:pPr>
              <w:jc w:val="center"/>
              <w:rPr>
                <w:rFonts w:hint="eastAsia" w:ascii="宋体" w:hAnsi="宋体" w:cs="宋体"/>
                <w:b/>
                <w:szCs w:val="21"/>
              </w:rPr>
            </w:pPr>
            <w:r>
              <w:rPr>
                <w:rFonts w:hint="eastAsia" w:ascii="宋体" w:hAnsi="宋体" w:cs="宋体"/>
                <w:b/>
                <w:bCs/>
                <w:szCs w:val="21"/>
              </w:rPr>
              <w:t>服务中心主要专业技术人员情况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95" w:hRule="atLeast"/>
          <w:jc w:val="center"/>
        </w:trPr>
        <w:tc>
          <w:tcPr>
            <w:tcW w:w="943" w:type="dxa"/>
            <w:vAlign w:val="center"/>
          </w:tcPr>
          <w:p>
            <w:pPr>
              <w:jc w:val="center"/>
              <w:rPr>
                <w:rFonts w:hint="eastAsia" w:ascii="宋体" w:hAnsi="宋体" w:cs="宋体"/>
                <w:b/>
                <w:szCs w:val="21"/>
              </w:rPr>
            </w:pPr>
            <w:r>
              <w:rPr>
                <w:rFonts w:hint="eastAsia" w:ascii="宋体" w:hAnsi="宋体" w:cs="宋体"/>
                <w:b/>
                <w:bCs/>
                <w:szCs w:val="21"/>
              </w:rPr>
              <w:t>姓名</w:t>
            </w:r>
          </w:p>
        </w:tc>
        <w:tc>
          <w:tcPr>
            <w:tcW w:w="774" w:type="dxa"/>
            <w:vAlign w:val="center"/>
          </w:tcPr>
          <w:p>
            <w:pPr>
              <w:jc w:val="center"/>
              <w:rPr>
                <w:rFonts w:hint="eastAsia" w:ascii="宋体" w:hAnsi="宋体" w:cs="宋体"/>
                <w:b/>
                <w:szCs w:val="21"/>
              </w:rPr>
            </w:pPr>
            <w:r>
              <w:rPr>
                <w:rFonts w:hint="eastAsia" w:ascii="宋体" w:hAnsi="宋体" w:cs="宋体"/>
                <w:b/>
                <w:bCs/>
                <w:szCs w:val="21"/>
              </w:rPr>
              <w:t>职位</w:t>
            </w:r>
          </w:p>
        </w:tc>
        <w:tc>
          <w:tcPr>
            <w:tcW w:w="1325" w:type="dxa"/>
            <w:gridSpan w:val="2"/>
            <w:vAlign w:val="center"/>
          </w:tcPr>
          <w:p>
            <w:pPr>
              <w:jc w:val="center"/>
              <w:rPr>
                <w:rFonts w:hint="eastAsia" w:ascii="宋体" w:hAnsi="宋体" w:cs="宋体"/>
                <w:b/>
                <w:szCs w:val="21"/>
              </w:rPr>
            </w:pPr>
            <w:r>
              <w:rPr>
                <w:rFonts w:hint="eastAsia" w:ascii="宋体" w:hAnsi="宋体" w:cs="宋体"/>
                <w:b/>
                <w:bCs/>
              </w:rPr>
              <w:t>职责</w:t>
            </w:r>
          </w:p>
        </w:tc>
        <w:tc>
          <w:tcPr>
            <w:tcW w:w="891" w:type="dxa"/>
            <w:vAlign w:val="center"/>
          </w:tcPr>
          <w:p>
            <w:pPr>
              <w:jc w:val="center"/>
              <w:rPr>
                <w:rFonts w:hint="eastAsia" w:ascii="宋体" w:hAnsi="宋体" w:cs="宋体"/>
                <w:b/>
                <w:szCs w:val="21"/>
              </w:rPr>
            </w:pPr>
            <w:r>
              <w:rPr>
                <w:rFonts w:hint="eastAsia" w:ascii="宋体" w:hAnsi="宋体" w:cs="宋体"/>
                <w:b/>
                <w:bCs/>
                <w:szCs w:val="21"/>
              </w:rPr>
              <w:t>学历/专业</w:t>
            </w:r>
          </w:p>
        </w:tc>
        <w:tc>
          <w:tcPr>
            <w:tcW w:w="2420" w:type="dxa"/>
            <w:gridSpan w:val="3"/>
            <w:vAlign w:val="center"/>
          </w:tcPr>
          <w:p>
            <w:pPr>
              <w:jc w:val="center"/>
              <w:rPr>
                <w:rFonts w:hint="eastAsia" w:ascii="宋体" w:hAnsi="宋体" w:cs="宋体"/>
                <w:b/>
                <w:szCs w:val="21"/>
              </w:rPr>
            </w:pPr>
            <w:r>
              <w:rPr>
                <w:rFonts w:hint="eastAsia" w:ascii="宋体" w:hAnsi="宋体" w:cs="宋体"/>
                <w:b/>
                <w:bCs/>
              </w:rPr>
              <w:t>获得资格证书</w:t>
            </w:r>
          </w:p>
        </w:tc>
        <w:tc>
          <w:tcPr>
            <w:tcW w:w="3335" w:type="dxa"/>
            <w:gridSpan w:val="3"/>
            <w:vAlign w:val="center"/>
          </w:tcPr>
          <w:p>
            <w:pPr>
              <w:jc w:val="center"/>
              <w:rPr>
                <w:rFonts w:hint="eastAsia" w:ascii="宋体" w:hAnsi="宋体" w:cs="宋体"/>
                <w:b/>
                <w:szCs w:val="21"/>
              </w:rPr>
            </w:pPr>
            <w:r>
              <w:rPr>
                <w:rFonts w:hint="eastAsia" w:ascii="宋体" w:hAnsi="宋体" w:cs="宋体"/>
                <w:b/>
                <w:bCs/>
              </w:rPr>
              <w:t>主要资历、经验及承担过的项目</w:t>
            </w:r>
          </w:p>
        </w:tc>
        <w:tc>
          <w:tcPr>
            <w:tcW w:w="1001" w:type="dxa"/>
            <w:vAlign w:val="center"/>
          </w:tcPr>
          <w:p>
            <w:pPr>
              <w:jc w:val="center"/>
              <w:rPr>
                <w:rFonts w:hint="eastAsia" w:ascii="宋体" w:hAnsi="宋体" w:cs="宋体"/>
                <w:b/>
                <w:szCs w:val="21"/>
              </w:rPr>
            </w:pPr>
            <w:r>
              <w:rPr>
                <w:rFonts w:hint="eastAsia" w:ascii="宋体" w:hAnsi="宋体" w:cs="宋体"/>
                <w:b/>
                <w:bCs/>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943" w:type="dxa"/>
            <w:vAlign w:val="center"/>
          </w:tcPr>
          <w:p>
            <w:pPr>
              <w:jc w:val="center"/>
              <w:rPr>
                <w:rFonts w:hint="eastAsia" w:ascii="宋体" w:hAnsi="宋体" w:cs="宋体"/>
                <w:b/>
                <w:bCs/>
                <w:szCs w:val="21"/>
              </w:rPr>
            </w:pPr>
          </w:p>
        </w:tc>
        <w:tc>
          <w:tcPr>
            <w:tcW w:w="774" w:type="dxa"/>
            <w:vAlign w:val="center"/>
          </w:tcPr>
          <w:p>
            <w:pPr>
              <w:jc w:val="center"/>
              <w:rPr>
                <w:rFonts w:hint="eastAsia" w:ascii="宋体" w:hAnsi="宋体" w:cs="宋体"/>
                <w:b/>
                <w:bCs/>
                <w:szCs w:val="21"/>
              </w:rPr>
            </w:pPr>
          </w:p>
        </w:tc>
        <w:tc>
          <w:tcPr>
            <w:tcW w:w="1325" w:type="dxa"/>
            <w:gridSpan w:val="2"/>
            <w:vAlign w:val="center"/>
          </w:tcPr>
          <w:p>
            <w:pPr>
              <w:jc w:val="center"/>
              <w:rPr>
                <w:rFonts w:hint="eastAsia" w:ascii="宋体" w:hAnsi="宋体" w:cs="宋体"/>
                <w:b/>
                <w:bCs/>
              </w:rPr>
            </w:pPr>
          </w:p>
        </w:tc>
        <w:tc>
          <w:tcPr>
            <w:tcW w:w="891" w:type="dxa"/>
            <w:vAlign w:val="center"/>
          </w:tcPr>
          <w:p>
            <w:pPr>
              <w:jc w:val="center"/>
              <w:rPr>
                <w:rFonts w:hint="eastAsia" w:ascii="宋体" w:hAnsi="宋体" w:cs="宋体"/>
                <w:b/>
                <w:bCs/>
                <w:szCs w:val="21"/>
              </w:rPr>
            </w:pPr>
          </w:p>
        </w:tc>
        <w:tc>
          <w:tcPr>
            <w:tcW w:w="2420" w:type="dxa"/>
            <w:gridSpan w:val="3"/>
            <w:vAlign w:val="center"/>
          </w:tcPr>
          <w:p>
            <w:pPr>
              <w:jc w:val="center"/>
              <w:rPr>
                <w:rFonts w:hint="eastAsia" w:ascii="宋体" w:hAnsi="宋体" w:cs="宋体"/>
                <w:b/>
                <w:bCs/>
              </w:rPr>
            </w:pPr>
          </w:p>
        </w:tc>
        <w:tc>
          <w:tcPr>
            <w:tcW w:w="3335" w:type="dxa"/>
            <w:gridSpan w:val="3"/>
            <w:vAlign w:val="center"/>
          </w:tcPr>
          <w:p>
            <w:pPr>
              <w:jc w:val="center"/>
              <w:rPr>
                <w:rFonts w:hint="eastAsia" w:ascii="宋体" w:hAnsi="宋体" w:cs="宋体"/>
                <w:b/>
                <w:bCs/>
              </w:rPr>
            </w:pPr>
          </w:p>
        </w:tc>
        <w:tc>
          <w:tcPr>
            <w:tcW w:w="1001" w:type="dxa"/>
            <w:vAlign w:val="center"/>
          </w:tcPr>
          <w:p>
            <w:pPr>
              <w:jc w:val="cente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943" w:type="dxa"/>
            <w:vAlign w:val="center"/>
          </w:tcPr>
          <w:p>
            <w:pPr>
              <w:jc w:val="center"/>
              <w:rPr>
                <w:rFonts w:hint="eastAsia" w:ascii="宋体" w:hAnsi="宋体" w:cs="宋体"/>
                <w:b/>
                <w:bCs/>
                <w:szCs w:val="21"/>
              </w:rPr>
            </w:pPr>
          </w:p>
        </w:tc>
        <w:tc>
          <w:tcPr>
            <w:tcW w:w="774" w:type="dxa"/>
            <w:vAlign w:val="center"/>
          </w:tcPr>
          <w:p>
            <w:pPr>
              <w:jc w:val="center"/>
              <w:rPr>
                <w:rFonts w:hint="eastAsia" w:ascii="宋体" w:hAnsi="宋体" w:cs="宋体"/>
                <w:b/>
                <w:bCs/>
                <w:szCs w:val="21"/>
              </w:rPr>
            </w:pPr>
          </w:p>
        </w:tc>
        <w:tc>
          <w:tcPr>
            <w:tcW w:w="1325" w:type="dxa"/>
            <w:gridSpan w:val="2"/>
            <w:vAlign w:val="center"/>
          </w:tcPr>
          <w:p>
            <w:pPr>
              <w:jc w:val="center"/>
              <w:rPr>
                <w:rFonts w:hint="eastAsia" w:ascii="宋体" w:hAnsi="宋体" w:cs="宋体"/>
                <w:b/>
                <w:bCs/>
              </w:rPr>
            </w:pPr>
          </w:p>
        </w:tc>
        <w:tc>
          <w:tcPr>
            <w:tcW w:w="891" w:type="dxa"/>
            <w:vAlign w:val="center"/>
          </w:tcPr>
          <w:p>
            <w:pPr>
              <w:jc w:val="center"/>
              <w:rPr>
                <w:rFonts w:hint="eastAsia" w:ascii="宋体" w:hAnsi="宋体" w:cs="宋体"/>
                <w:b/>
                <w:bCs/>
                <w:szCs w:val="21"/>
              </w:rPr>
            </w:pPr>
          </w:p>
        </w:tc>
        <w:tc>
          <w:tcPr>
            <w:tcW w:w="2420" w:type="dxa"/>
            <w:gridSpan w:val="3"/>
            <w:vAlign w:val="center"/>
          </w:tcPr>
          <w:p>
            <w:pPr>
              <w:jc w:val="center"/>
              <w:rPr>
                <w:rFonts w:hint="eastAsia" w:ascii="宋体" w:hAnsi="宋体" w:cs="宋体"/>
                <w:b/>
                <w:bCs/>
              </w:rPr>
            </w:pPr>
          </w:p>
        </w:tc>
        <w:tc>
          <w:tcPr>
            <w:tcW w:w="3335" w:type="dxa"/>
            <w:gridSpan w:val="3"/>
            <w:vAlign w:val="center"/>
          </w:tcPr>
          <w:p>
            <w:pPr>
              <w:jc w:val="center"/>
              <w:rPr>
                <w:rFonts w:hint="eastAsia" w:ascii="宋体" w:hAnsi="宋体" w:cs="宋体"/>
                <w:b/>
                <w:bCs/>
              </w:rPr>
            </w:pPr>
          </w:p>
        </w:tc>
        <w:tc>
          <w:tcPr>
            <w:tcW w:w="1001" w:type="dxa"/>
            <w:vAlign w:val="center"/>
          </w:tcPr>
          <w:p>
            <w:pPr>
              <w:jc w:val="cente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943" w:type="dxa"/>
            <w:vAlign w:val="center"/>
          </w:tcPr>
          <w:p>
            <w:pPr>
              <w:jc w:val="center"/>
              <w:rPr>
                <w:rFonts w:hint="eastAsia" w:ascii="宋体" w:hAnsi="宋体" w:cs="宋体"/>
                <w:b/>
                <w:bCs/>
                <w:szCs w:val="21"/>
              </w:rPr>
            </w:pPr>
          </w:p>
        </w:tc>
        <w:tc>
          <w:tcPr>
            <w:tcW w:w="774" w:type="dxa"/>
            <w:vAlign w:val="center"/>
          </w:tcPr>
          <w:p>
            <w:pPr>
              <w:jc w:val="center"/>
              <w:rPr>
                <w:rFonts w:hint="eastAsia" w:ascii="宋体" w:hAnsi="宋体" w:cs="宋体"/>
                <w:b/>
                <w:bCs/>
                <w:szCs w:val="21"/>
              </w:rPr>
            </w:pPr>
          </w:p>
        </w:tc>
        <w:tc>
          <w:tcPr>
            <w:tcW w:w="1325" w:type="dxa"/>
            <w:gridSpan w:val="2"/>
            <w:vAlign w:val="center"/>
          </w:tcPr>
          <w:p>
            <w:pPr>
              <w:jc w:val="center"/>
              <w:rPr>
                <w:rFonts w:hint="eastAsia" w:ascii="宋体" w:hAnsi="宋体" w:cs="宋体"/>
                <w:b/>
                <w:bCs/>
              </w:rPr>
            </w:pPr>
          </w:p>
        </w:tc>
        <w:tc>
          <w:tcPr>
            <w:tcW w:w="891" w:type="dxa"/>
            <w:vAlign w:val="center"/>
          </w:tcPr>
          <w:p>
            <w:pPr>
              <w:jc w:val="center"/>
              <w:rPr>
                <w:rFonts w:hint="eastAsia" w:ascii="宋体" w:hAnsi="宋体" w:cs="宋体"/>
                <w:b/>
                <w:bCs/>
                <w:szCs w:val="21"/>
              </w:rPr>
            </w:pPr>
          </w:p>
        </w:tc>
        <w:tc>
          <w:tcPr>
            <w:tcW w:w="2420" w:type="dxa"/>
            <w:gridSpan w:val="3"/>
            <w:vAlign w:val="center"/>
          </w:tcPr>
          <w:p>
            <w:pPr>
              <w:jc w:val="center"/>
              <w:rPr>
                <w:rFonts w:hint="eastAsia" w:ascii="宋体" w:hAnsi="宋体" w:cs="宋体"/>
                <w:b/>
                <w:bCs/>
              </w:rPr>
            </w:pPr>
          </w:p>
        </w:tc>
        <w:tc>
          <w:tcPr>
            <w:tcW w:w="3335" w:type="dxa"/>
            <w:gridSpan w:val="3"/>
            <w:vAlign w:val="center"/>
          </w:tcPr>
          <w:p>
            <w:pPr>
              <w:jc w:val="center"/>
              <w:rPr>
                <w:rFonts w:hint="eastAsia" w:ascii="宋体" w:hAnsi="宋体" w:cs="宋体"/>
                <w:b/>
                <w:bCs/>
              </w:rPr>
            </w:pPr>
          </w:p>
        </w:tc>
        <w:tc>
          <w:tcPr>
            <w:tcW w:w="1001" w:type="dxa"/>
            <w:vAlign w:val="center"/>
          </w:tcPr>
          <w:p>
            <w:pPr>
              <w:jc w:val="cente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943" w:type="dxa"/>
            <w:vAlign w:val="center"/>
          </w:tcPr>
          <w:p>
            <w:pPr>
              <w:jc w:val="center"/>
              <w:rPr>
                <w:rFonts w:hint="eastAsia" w:ascii="宋体" w:hAnsi="宋体" w:cs="宋体"/>
                <w:b/>
                <w:bCs/>
                <w:szCs w:val="21"/>
              </w:rPr>
            </w:pPr>
          </w:p>
        </w:tc>
        <w:tc>
          <w:tcPr>
            <w:tcW w:w="774" w:type="dxa"/>
            <w:vAlign w:val="center"/>
          </w:tcPr>
          <w:p>
            <w:pPr>
              <w:jc w:val="center"/>
              <w:rPr>
                <w:rFonts w:hint="eastAsia" w:ascii="宋体" w:hAnsi="宋体" w:cs="宋体"/>
                <w:b/>
                <w:bCs/>
                <w:szCs w:val="21"/>
              </w:rPr>
            </w:pPr>
          </w:p>
        </w:tc>
        <w:tc>
          <w:tcPr>
            <w:tcW w:w="1325" w:type="dxa"/>
            <w:gridSpan w:val="2"/>
            <w:vAlign w:val="center"/>
          </w:tcPr>
          <w:p>
            <w:pPr>
              <w:jc w:val="center"/>
              <w:rPr>
                <w:rFonts w:hint="eastAsia" w:ascii="宋体" w:hAnsi="宋体" w:cs="宋体"/>
                <w:b/>
                <w:bCs/>
              </w:rPr>
            </w:pPr>
          </w:p>
        </w:tc>
        <w:tc>
          <w:tcPr>
            <w:tcW w:w="891" w:type="dxa"/>
            <w:vAlign w:val="center"/>
          </w:tcPr>
          <w:p>
            <w:pPr>
              <w:jc w:val="center"/>
              <w:rPr>
                <w:rFonts w:hint="eastAsia" w:ascii="宋体" w:hAnsi="宋体" w:cs="宋体"/>
                <w:b/>
                <w:bCs/>
                <w:szCs w:val="21"/>
              </w:rPr>
            </w:pPr>
          </w:p>
        </w:tc>
        <w:tc>
          <w:tcPr>
            <w:tcW w:w="2420" w:type="dxa"/>
            <w:gridSpan w:val="3"/>
            <w:vAlign w:val="center"/>
          </w:tcPr>
          <w:p>
            <w:pPr>
              <w:jc w:val="center"/>
              <w:rPr>
                <w:rFonts w:hint="eastAsia" w:ascii="宋体" w:hAnsi="宋体" w:cs="宋体"/>
                <w:b/>
                <w:bCs/>
              </w:rPr>
            </w:pPr>
          </w:p>
        </w:tc>
        <w:tc>
          <w:tcPr>
            <w:tcW w:w="3335" w:type="dxa"/>
            <w:gridSpan w:val="3"/>
            <w:vAlign w:val="center"/>
          </w:tcPr>
          <w:p>
            <w:pPr>
              <w:jc w:val="center"/>
              <w:rPr>
                <w:rFonts w:hint="eastAsia" w:ascii="宋体" w:hAnsi="宋体" w:cs="宋体"/>
                <w:b/>
                <w:bCs/>
              </w:rPr>
            </w:pPr>
          </w:p>
        </w:tc>
        <w:tc>
          <w:tcPr>
            <w:tcW w:w="1001" w:type="dxa"/>
            <w:vAlign w:val="center"/>
          </w:tcPr>
          <w:p>
            <w:pPr>
              <w:jc w:val="cente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0689" w:type="dxa"/>
            <w:gridSpan w:val="12"/>
            <w:vAlign w:val="center"/>
          </w:tcPr>
          <w:p>
            <w:pPr>
              <w:jc w:val="center"/>
              <w:rPr>
                <w:rFonts w:hint="eastAsia" w:ascii="宋体" w:hAnsi="宋体" w:cs="宋体"/>
                <w:b/>
                <w:bCs/>
                <w:szCs w:val="21"/>
              </w:rPr>
            </w:pPr>
            <w:r>
              <w:rPr>
                <w:rFonts w:hint="eastAsia" w:ascii="宋体" w:hAnsi="宋体" w:cs="宋体"/>
                <w:b/>
                <w:bCs/>
              </w:rPr>
              <w:t>（此表可延长）</w:t>
            </w:r>
          </w:p>
        </w:tc>
      </w:tr>
    </w:tbl>
    <w:p>
      <w:pPr>
        <w:pStyle w:val="25"/>
        <w:spacing w:before="120" w:after="120" w:line="360" w:lineRule="auto"/>
        <w:rPr>
          <w:rFonts w:hint="eastAsia" w:hAnsi="宋体" w:cs="宋体"/>
          <w:b/>
          <w:szCs w:val="24"/>
        </w:rPr>
      </w:pPr>
      <w:r>
        <w:rPr>
          <w:rFonts w:hint="eastAsia" w:hAnsi="宋体" w:cs="宋体"/>
          <w:b/>
        </w:rPr>
        <w:t>注：提供相关证明文件</w:t>
      </w:r>
      <w:r>
        <w:rPr>
          <w:rFonts w:hint="eastAsia" w:hAnsi="宋体" w:cs="宋体"/>
          <w:b/>
          <w:highlight w:val="none"/>
        </w:rPr>
        <w:t>及</w:t>
      </w:r>
      <w:r>
        <w:rPr>
          <w:rFonts w:hint="eastAsia" w:hAnsi="宋体" w:cs="宋体"/>
          <w:b/>
          <w:szCs w:val="24"/>
          <w:highlight w:val="none"/>
        </w:rPr>
        <w:t>201</w:t>
      </w:r>
      <w:r>
        <w:rPr>
          <w:rFonts w:hint="eastAsia" w:hAnsi="宋体" w:cs="宋体"/>
          <w:b/>
          <w:szCs w:val="24"/>
          <w:highlight w:val="none"/>
          <w:lang w:val="en-US" w:eastAsia="zh-CN"/>
        </w:rPr>
        <w:t>8</w:t>
      </w:r>
      <w:r>
        <w:rPr>
          <w:rFonts w:hint="eastAsia" w:hAnsi="宋体" w:cs="宋体"/>
          <w:b/>
          <w:szCs w:val="24"/>
          <w:highlight w:val="none"/>
        </w:rPr>
        <w:t>年</w:t>
      </w:r>
      <w:r>
        <w:rPr>
          <w:rFonts w:hint="eastAsia" w:hAnsi="宋体" w:cs="宋体"/>
          <w:b/>
          <w:szCs w:val="24"/>
          <w:highlight w:val="none"/>
          <w:lang w:val="en-US" w:eastAsia="zh-CN"/>
        </w:rPr>
        <w:t>10</w:t>
      </w:r>
      <w:r>
        <w:rPr>
          <w:rFonts w:hint="eastAsia" w:hAnsi="宋体" w:cs="宋体"/>
          <w:b/>
          <w:szCs w:val="24"/>
          <w:highlight w:val="none"/>
        </w:rPr>
        <w:t>-</w:t>
      </w:r>
      <w:r>
        <w:rPr>
          <w:rFonts w:hint="eastAsia" w:hAnsi="宋体" w:cs="宋体"/>
          <w:b/>
          <w:szCs w:val="24"/>
          <w:highlight w:val="none"/>
          <w:lang w:val="en-US" w:eastAsia="zh-CN"/>
        </w:rPr>
        <w:t>12</w:t>
      </w:r>
      <w:r>
        <w:rPr>
          <w:rFonts w:hint="eastAsia" w:hAnsi="宋体" w:cs="宋体"/>
          <w:b/>
          <w:szCs w:val="24"/>
          <w:highlight w:val="none"/>
        </w:rPr>
        <w:t>由投标单位</w:t>
      </w:r>
      <w:r>
        <w:rPr>
          <w:rFonts w:hint="eastAsia" w:hAnsi="宋体" w:cs="宋体"/>
          <w:b/>
          <w:szCs w:val="24"/>
        </w:rPr>
        <w:t>购买的社保证明,投标时提供原件查验。</w:t>
      </w:r>
    </w:p>
    <w:p>
      <w:pPr>
        <w:spacing w:line="360" w:lineRule="auto"/>
        <w:rPr>
          <w:rFonts w:hint="eastAsia" w:ascii="宋体" w:hAnsi="宋体" w:cs="宋体"/>
          <w:b/>
        </w:rPr>
      </w:pPr>
    </w:p>
    <w:p>
      <w:pPr>
        <w:spacing w:line="360" w:lineRule="auto"/>
        <w:rPr>
          <w:rFonts w:hint="eastAsia" w:ascii="宋体" w:hAnsi="宋体" w:cs="宋体"/>
          <w:b/>
        </w:rPr>
      </w:pPr>
    </w:p>
    <w:p>
      <w:pPr>
        <w:spacing w:line="400" w:lineRule="exact"/>
        <w:ind w:firstLine="4725" w:firstLineChars="2250"/>
        <w:rPr>
          <w:rFonts w:hint="eastAsia" w:ascii="宋体" w:hAnsi="宋体" w:cs="宋体"/>
          <w:szCs w:val="21"/>
        </w:rPr>
      </w:pPr>
      <w:bookmarkStart w:id="65" w:name="_Toc420684764"/>
      <w:bookmarkStart w:id="66" w:name="_Toc421004198"/>
      <w:bookmarkStart w:id="67" w:name="_Toc421205761"/>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bookmarkEnd w:id="65"/>
    <w:bookmarkEnd w:id="66"/>
    <w:bookmarkEnd w:id="67"/>
    <w:p>
      <w:pPr>
        <w:spacing w:before="120" w:after="120"/>
        <w:rPr>
          <w:rFonts w:hint="eastAsia" w:ascii="宋体" w:hAnsi="宋体" w:cs="宋体"/>
          <w:sz w:val="28"/>
          <w:szCs w:val="28"/>
        </w:rPr>
      </w:pPr>
      <w:bookmarkStart w:id="68" w:name="_Toc420684768"/>
      <w:bookmarkStart w:id="69" w:name="_Toc421205765"/>
      <w:bookmarkStart w:id="70" w:name="_Toc421004202"/>
      <w:r>
        <w:rPr>
          <w:rFonts w:hint="eastAsia" w:ascii="宋体" w:hAnsi="宋体" w:cs="宋体"/>
          <w:sz w:val="28"/>
          <w:szCs w:val="28"/>
        </w:rPr>
        <w:t>表5-</w:t>
      </w:r>
      <w:bookmarkEnd w:id="68"/>
      <w:r>
        <w:rPr>
          <w:rFonts w:hint="eastAsia" w:ascii="宋体" w:hAnsi="宋体" w:cs="宋体"/>
          <w:sz w:val="28"/>
          <w:szCs w:val="28"/>
          <w:lang w:val="en-US" w:eastAsia="zh-CN"/>
        </w:rPr>
        <w:t>9</w:t>
      </w:r>
      <w:r>
        <w:rPr>
          <w:rFonts w:hint="eastAsia" w:ascii="宋体" w:hAnsi="宋体" w:cs="宋体"/>
          <w:sz w:val="28"/>
          <w:szCs w:val="28"/>
        </w:rPr>
        <w:t xml:space="preserve">  </w:t>
      </w:r>
      <w:r>
        <w:rPr>
          <w:rFonts w:hint="eastAsia" w:ascii="宋体" w:hAnsi="宋体" w:cs="宋体"/>
          <w:sz w:val="28"/>
          <w:szCs w:val="28"/>
          <w:lang w:eastAsia="zh-CN"/>
        </w:rPr>
        <w:t>近</w:t>
      </w:r>
      <w:r>
        <w:rPr>
          <w:rFonts w:hint="eastAsia" w:ascii="宋体" w:hAnsi="宋体" w:cs="宋体"/>
          <w:sz w:val="28"/>
          <w:szCs w:val="28"/>
          <w:lang w:val="en-US" w:eastAsia="zh-CN"/>
        </w:rPr>
        <w:t>2年</w:t>
      </w:r>
      <w:r>
        <w:rPr>
          <w:rFonts w:hint="eastAsia" w:ascii="宋体" w:hAnsi="宋体" w:cs="宋体"/>
          <w:sz w:val="28"/>
          <w:szCs w:val="20"/>
        </w:rPr>
        <w:t>承接的同类项目</w:t>
      </w:r>
      <w:r>
        <w:rPr>
          <w:rFonts w:hint="eastAsia" w:ascii="宋体" w:hAnsi="宋体" w:cs="宋体"/>
          <w:sz w:val="28"/>
          <w:szCs w:val="20"/>
          <w:lang w:eastAsia="zh-CN"/>
        </w:rPr>
        <w:t>业绩</w:t>
      </w:r>
      <w:r>
        <w:rPr>
          <w:rFonts w:hint="eastAsia" w:ascii="宋体" w:hAnsi="宋体" w:cs="宋体"/>
          <w:sz w:val="28"/>
          <w:szCs w:val="20"/>
        </w:rPr>
        <w:t>一览表</w:t>
      </w:r>
      <w:bookmarkEnd w:id="69"/>
      <w:bookmarkEnd w:id="70"/>
    </w:p>
    <w:p>
      <w:pPr>
        <w:spacing w:line="360" w:lineRule="auto"/>
        <w:rPr>
          <w:rFonts w:hint="eastAsia"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p>
    <w:tbl>
      <w:tblPr>
        <w:tblStyle w:val="55"/>
        <w:tblW w:w="9468"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5"/>
        <w:gridCol w:w="1294"/>
        <w:gridCol w:w="1367"/>
        <w:gridCol w:w="1294"/>
        <w:gridCol w:w="2349"/>
        <w:gridCol w:w="239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5" w:hRule="atLeast"/>
        </w:trPr>
        <w:tc>
          <w:tcPr>
            <w:tcW w:w="765" w:type="dxa"/>
            <w:tcBorders>
              <w:top w:val="double" w:color="auto" w:sz="4" w:space="0"/>
              <w:left w:val="double" w:color="auto" w:sz="4"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序号</w:t>
            </w:r>
          </w:p>
        </w:tc>
        <w:tc>
          <w:tcPr>
            <w:tcW w:w="1294" w:type="dxa"/>
            <w:tcBorders>
              <w:top w:val="double" w:color="auto" w:sz="4" w:space="0"/>
              <w:left w:val="single" w:color="auto" w:sz="6"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项目名称</w:t>
            </w:r>
          </w:p>
        </w:tc>
        <w:tc>
          <w:tcPr>
            <w:tcW w:w="1367" w:type="dxa"/>
            <w:tcBorders>
              <w:top w:val="double" w:color="auto" w:sz="4" w:space="0"/>
              <w:left w:val="single" w:color="auto" w:sz="6"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主要产品</w:t>
            </w:r>
          </w:p>
        </w:tc>
        <w:tc>
          <w:tcPr>
            <w:tcW w:w="1294" w:type="dxa"/>
            <w:tcBorders>
              <w:top w:val="double" w:color="auto" w:sz="4" w:space="0"/>
              <w:left w:val="single" w:color="auto" w:sz="6"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合同金额</w:t>
            </w:r>
          </w:p>
        </w:tc>
        <w:tc>
          <w:tcPr>
            <w:tcW w:w="2349" w:type="dxa"/>
            <w:tcBorders>
              <w:top w:val="double" w:color="auto" w:sz="4" w:space="0"/>
              <w:left w:val="single" w:color="auto" w:sz="6"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完成时间</w:t>
            </w:r>
          </w:p>
        </w:tc>
        <w:tc>
          <w:tcPr>
            <w:tcW w:w="2399" w:type="dxa"/>
            <w:tcBorders>
              <w:top w:val="double" w:color="auto" w:sz="4" w:space="0"/>
              <w:left w:val="single" w:color="auto" w:sz="6" w:space="0"/>
              <w:bottom w:val="single" w:color="auto" w:sz="6" w:space="0"/>
              <w:right w:val="double" w:color="auto" w:sz="4" w:space="0"/>
            </w:tcBorders>
            <w:shd w:val="clear" w:color="auto" w:fill="D9D9D9"/>
            <w:vAlign w:val="center"/>
          </w:tcPr>
          <w:p>
            <w:pPr>
              <w:jc w:val="center"/>
              <w:rPr>
                <w:rFonts w:hint="eastAsia" w:ascii="宋体" w:hAnsi="宋体" w:cs="宋体"/>
                <w:b/>
              </w:rPr>
            </w:pPr>
            <w:r>
              <w:rPr>
                <w:rFonts w:hint="eastAsia" w:ascii="宋体" w:hAnsi="宋体" w:cs="宋体"/>
                <w:b/>
              </w:rPr>
              <w:t>项目单位联系人电话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pStyle w:val="73"/>
              <w:spacing w:before="156" w:after="156" w:line="400" w:lineRule="exact"/>
              <w:rPr>
                <w:rFonts w:hint="eastAsia" w:ascii="宋体" w:hAnsi="宋体" w:cs="宋体"/>
                <w:spacing w:val="0"/>
                <w:kern w:val="2"/>
                <w:szCs w:val="24"/>
              </w:rPr>
            </w:pPr>
            <w:r>
              <w:rPr>
                <w:rFonts w:hint="eastAsia" w:ascii="宋体" w:hAnsi="宋体" w:cs="宋体"/>
                <w:spacing w:val="0"/>
                <w:kern w:val="2"/>
                <w:szCs w:val="24"/>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65" w:type="dxa"/>
            <w:tcBorders>
              <w:top w:val="single" w:color="auto" w:sz="6" w:space="0"/>
              <w:left w:val="double" w:color="auto" w:sz="4"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double" w:color="auto" w:sz="4"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bl>
    <w:p>
      <w:pPr>
        <w:spacing w:before="156" w:after="156" w:line="360" w:lineRule="auto"/>
        <w:rPr>
          <w:rFonts w:hint="eastAsia" w:ascii="宋体" w:hAnsi="宋体" w:cs="宋体"/>
          <w:b/>
          <w:bCs/>
          <w:szCs w:val="21"/>
        </w:rPr>
      </w:pPr>
      <w:r>
        <w:rPr>
          <w:rFonts w:hint="eastAsia" w:ascii="宋体" w:hAnsi="宋体" w:cs="宋体"/>
          <w:b/>
          <w:bCs/>
          <w:szCs w:val="21"/>
        </w:rPr>
        <w:t>注：投标人提供合同</w:t>
      </w:r>
      <w:r>
        <w:rPr>
          <w:rFonts w:hint="eastAsia" w:ascii="宋体" w:hAnsi="宋体" w:cs="宋体"/>
          <w:b/>
          <w:bCs/>
          <w:szCs w:val="21"/>
          <w:lang w:eastAsia="zh-CN"/>
        </w:rPr>
        <w:t>或验收报告</w:t>
      </w:r>
      <w:r>
        <w:rPr>
          <w:rFonts w:hint="eastAsia" w:ascii="宋体" w:hAnsi="宋体" w:cs="宋体"/>
          <w:b/>
          <w:bCs/>
          <w:szCs w:val="21"/>
        </w:rPr>
        <w:t>复印件，并加盖公章。开标时提供原件核查。</w:t>
      </w:r>
    </w:p>
    <w:p>
      <w:pPr>
        <w:spacing w:before="156" w:after="156" w:line="360" w:lineRule="auto"/>
        <w:rPr>
          <w:rFonts w:hint="eastAsia" w:ascii="宋体" w:hAnsi="宋体" w:cs="宋体"/>
          <w:szCs w:val="21"/>
        </w:rPr>
      </w:pPr>
      <w:r>
        <w:rPr>
          <w:rFonts w:hint="eastAsia" w:ascii="宋体" w:hAnsi="宋体" w:cs="宋体"/>
          <w:szCs w:val="21"/>
        </w:rPr>
        <w:t>（此表可延长）</w:t>
      </w:r>
    </w:p>
    <w:p>
      <w:pPr>
        <w:spacing w:before="156" w:after="156" w:line="360" w:lineRule="auto"/>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rPr>
          <w:rFonts w:hint="eastAsia" w:ascii="宋体" w:hAnsi="宋体" w:cs="宋体"/>
          <w:sz w:val="28"/>
          <w:szCs w:val="28"/>
        </w:rPr>
      </w:pPr>
      <w:bookmarkStart w:id="71" w:name="_Toc421205766"/>
      <w:bookmarkStart w:id="72" w:name="_Toc421004203"/>
      <w:bookmarkStart w:id="73" w:name="_Toc420684769"/>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表5-</w:t>
      </w:r>
      <w:r>
        <w:rPr>
          <w:rFonts w:hint="eastAsia" w:ascii="宋体" w:hAnsi="宋体" w:cs="宋体"/>
          <w:sz w:val="28"/>
          <w:szCs w:val="28"/>
          <w:lang w:val="en-US" w:eastAsia="zh-CN"/>
        </w:rPr>
        <w:t>10</w:t>
      </w:r>
      <w:r>
        <w:rPr>
          <w:rFonts w:hint="eastAsia" w:ascii="宋体" w:hAnsi="宋体" w:cs="宋体"/>
          <w:sz w:val="28"/>
          <w:szCs w:val="28"/>
        </w:rPr>
        <w:t xml:space="preserve">  投标保证金退还说明格式</w:t>
      </w:r>
    </w:p>
    <w:p>
      <w:pPr>
        <w:jc w:val="center"/>
        <w:rPr>
          <w:rFonts w:hint="eastAsia" w:ascii="宋体" w:hAnsi="宋体" w:cs="宋体"/>
          <w:sz w:val="28"/>
          <w:szCs w:val="28"/>
        </w:rPr>
      </w:pPr>
      <w:bookmarkStart w:id="74" w:name="_Toc420684770"/>
      <w:bookmarkStart w:id="75" w:name="_Toc421205767"/>
      <w:bookmarkStart w:id="76" w:name="_Toc421004204"/>
      <w:r>
        <w:rPr>
          <w:rFonts w:hint="eastAsia" w:ascii="宋体" w:hAnsi="宋体" w:cs="宋体"/>
          <w:sz w:val="28"/>
          <w:szCs w:val="28"/>
        </w:rPr>
        <w:t>保证金退还说明</w:t>
      </w:r>
      <w:bookmarkEnd w:id="74"/>
      <w:bookmarkEnd w:id="75"/>
      <w:bookmarkEnd w:id="76"/>
    </w:p>
    <w:p>
      <w:pPr>
        <w:pStyle w:val="25"/>
        <w:jc w:val="center"/>
        <w:rPr>
          <w:rFonts w:hint="eastAsia" w:hAnsi="宋体" w:cs="宋体"/>
          <w:kern w:val="0"/>
        </w:rPr>
      </w:pPr>
    </w:p>
    <w:p>
      <w:pPr>
        <w:pStyle w:val="25"/>
        <w:spacing w:line="600" w:lineRule="auto"/>
        <w:rPr>
          <w:rFonts w:hint="eastAsia" w:hAnsi="宋体" w:cs="宋体"/>
          <w:b/>
        </w:rPr>
      </w:pPr>
      <w:r>
        <w:rPr>
          <w:rFonts w:hint="eastAsia" w:hAnsi="宋体" w:cs="宋体"/>
          <w:b/>
          <w:bCs/>
        </w:rPr>
        <w:t>致：</w:t>
      </w:r>
      <w:r>
        <w:rPr>
          <w:rFonts w:hint="eastAsia" w:hAnsi="宋体" w:cs="宋体"/>
          <w:lang w:eastAsia="zh-CN"/>
        </w:rPr>
        <w:t>华联世纪工程咨询股份有限公司中山分公司</w:t>
      </w:r>
    </w:p>
    <w:p>
      <w:pPr>
        <w:pStyle w:val="25"/>
        <w:spacing w:line="600" w:lineRule="auto"/>
        <w:rPr>
          <w:rFonts w:hint="eastAsia" w:hAnsi="宋体" w:cs="宋体"/>
        </w:rPr>
      </w:pPr>
    </w:p>
    <w:p>
      <w:pPr>
        <w:pStyle w:val="25"/>
        <w:spacing w:line="600" w:lineRule="auto"/>
        <w:rPr>
          <w:rFonts w:hint="eastAsia" w:hAnsi="宋体" w:cs="宋体"/>
          <w:kern w:val="0"/>
        </w:rPr>
      </w:pPr>
      <w:r>
        <w:rPr>
          <w:rFonts w:hint="eastAsia" w:hAnsi="宋体" w:cs="宋体"/>
        </w:rPr>
        <w:t>我方参加</w:t>
      </w:r>
      <w:r>
        <w:rPr>
          <w:rFonts w:hint="eastAsia" w:hAnsi="宋体" w:cs="宋体"/>
          <w:u w:val="single"/>
          <w:lang w:eastAsia="zh-CN"/>
        </w:rPr>
        <w:t>坦洲镇污水处理厂消毒剂采购项目</w:t>
      </w:r>
      <w:r>
        <w:rPr>
          <w:rFonts w:hint="eastAsia" w:hAnsi="宋体" w:cs="宋体"/>
        </w:rPr>
        <w:t xml:space="preserve"> [项目编号：</w:t>
      </w:r>
      <w:r>
        <w:rPr>
          <w:rFonts w:hint="eastAsia" w:hAnsi="宋体" w:cs="宋体"/>
          <w:lang w:eastAsia="zh-CN"/>
        </w:rPr>
        <w:t>HLSJZSCG-20181229</w:t>
      </w:r>
      <w:r>
        <w:rPr>
          <w:rFonts w:hint="eastAsia" w:hAnsi="宋体" w:cs="宋体"/>
        </w:rPr>
        <w:t>]所提交的投标保证金</w:t>
      </w:r>
      <w:r>
        <w:rPr>
          <w:rFonts w:hint="eastAsia" w:hAnsi="宋体" w:cs="宋体"/>
          <w:u w:val="single"/>
        </w:rPr>
        <w:t xml:space="preserve">            </w:t>
      </w:r>
      <w:r>
        <w:rPr>
          <w:rFonts w:hint="eastAsia" w:hAnsi="宋体" w:cs="宋体"/>
        </w:rPr>
        <w:t>元，请贵司退还时划到下列账户：</w:t>
      </w:r>
    </w:p>
    <w:p>
      <w:pPr>
        <w:pStyle w:val="25"/>
        <w:spacing w:line="600" w:lineRule="auto"/>
        <w:ind w:firstLine="420" w:firstLineChars="200"/>
        <w:rPr>
          <w:rFonts w:hint="eastAsia" w:hAnsi="宋体" w:cs="宋体"/>
        </w:rPr>
      </w:pPr>
      <w:r>
        <w:rPr>
          <w:rFonts w:hint="eastAsia" w:hAnsi="宋体" w:cs="宋体"/>
        </w:rPr>
        <w:t>收 款 单 位：</w:t>
      </w:r>
    </w:p>
    <w:p>
      <w:pPr>
        <w:pStyle w:val="25"/>
        <w:spacing w:line="600" w:lineRule="auto"/>
        <w:ind w:firstLine="420" w:firstLineChars="200"/>
        <w:rPr>
          <w:rFonts w:hint="eastAsia" w:hAnsi="宋体" w:cs="宋体"/>
          <w:kern w:val="0"/>
        </w:rPr>
      </w:pPr>
      <w:r>
        <w:rPr>
          <w:rFonts w:hint="eastAsia" w:hAnsi="宋体" w:cs="宋体"/>
        </w:rPr>
        <w:t>收款单位地址：</w:t>
      </w:r>
    </w:p>
    <w:p>
      <w:pPr>
        <w:pStyle w:val="25"/>
        <w:spacing w:line="600" w:lineRule="auto"/>
        <w:ind w:firstLine="420" w:firstLineChars="200"/>
        <w:rPr>
          <w:rFonts w:hint="eastAsia" w:hAnsi="宋体" w:cs="宋体"/>
        </w:rPr>
      </w:pPr>
      <w:r>
        <w:rPr>
          <w:rFonts w:hint="eastAsia" w:hAnsi="宋体" w:cs="宋体"/>
        </w:rPr>
        <w:t>开 户 银 行：</w:t>
      </w:r>
    </w:p>
    <w:p>
      <w:pPr>
        <w:pStyle w:val="25"/>
        <w:spacing w:line="600" w:lineRule="auto"/>
        <w:ind w:firstLine="420" w:firstLineChars="200"/>
        <w:rPr>
          <w:rFonts w:hint="eastAsia" w:hAnsi="宋体" w:cs="宋体"/>
          <w:kern w:val="0"/>
        </w:rPr>
      </w:pPr>
      <w:r>
        <w:rPr>
          <w:rFonts w:hint="eastAsia" w:hAnsi="宋体" w:cs="宋体"/>
        </w:rPr>
        <w:t>银行联行号：</w:t>
      </w:r>
    </w:p>
    <w:p>
      <w:pPr>
        <w:pStyle w:val="25"/>
        <w:spacing w:line="600" w:lineRule="auto"/>
        <w:ind w:firstLine="420" w:firstLineChars="200"/>
        <w:rPr>
          <w:rFonts w:hint="eastAsia" w:hAnsi="宋体" w:cs="宋体"/>
        </w:rPr>
      </w:pPr>
      <w:r>
        <w:rPr>
          <w:rFonts w:hint="eastAsia" w:hAnsi="宋体" w:cs="宋体"/>
        </w:rPr>
        <w:t>账       号：</w:t>
      </w:r>
    </w:p>
    <w:p>
      <w:pPr>
        <w:pStyle w:val="25"/>
        <w:spacing w:line="600" w:lineRule="auto"/>
        <w:ind w:firstLine="420" w:firstLineChars="200"/>
        <w:rPr>
          <w:rFonts w:hint="eastAsia" w:hAnsi="宋体" w:cs="宋体"/>
        </w:rPr>
      </w:pPr>
      <w:r>
        <w:rPr>
          <w:rFonts w:hint="eastAsia" w:hAnsi="宋体" w:cs="宋体"/>
        </w:rPr>
        <w:t>联   系  人：</w:t>
      </w:r>
    </w:p>
    <w:p>
      <w:pPr>
        <w:pStyle w:val="25"/>
        <w:spacing w:line="600" w:lineRule="auto"/>
        <w:ind w:firstLine="420" w:firstLineChars="200"/>
        <w:rPr>
          <w:rFonts w:hint="eastAsia" w:hAnsi="宋体" w:cs="宋体"/>
        </w:rPr>
      </w:pPr>
      <w:r>
        <w:rPr>
          <w:rFonts w:hint="eastAsia" w:hAnsi="宋体" w:cs="宋体"/>
        </w:rPr>
        <w:t>联 系 电 话：</w:t>
      </w:r>
    </w:p>
    <w:p>
      <w:pPr>
        <w:pStyle w:val="25"/>
        <w:spacing w:line="600" w:lineRule="auto"/>
        <w:ind w:firstLine="420" w:firstLineChars="200"/>
        <w:rPr>
          <w:rFonts w:hint="eastAsia" w:hAnsi="宋体" w:cs="宋体"/>
        </w:rPr>
      </w:pPr>
    </w:p>
    <w:p>
      <w:pPr>
        <w:pStyle w:val="25"/>
        <w:spacing w:line="600" w:lineRule="auto"/>
        <w:ind w:firstLine="420" w:firstLineChars="200"/>
        <w:rPr>
          <w:rFonts w:hint="eastAsia" w:hAnsi="宋体" w:cs="宋体"/>
        </w:rPr>
      </w:pPr>
    </w:p>
    <w:p>
      <w:pPr>
        <w:spacing w:line="360" w:lineRule="auto"/>
        <w:rPr>
          <w:rFonts w:hint="eastAsia" w:ascii="宋体" w:hAnsi="宋体" w:cs="宋体"/>
          <w:szCs w:val="21"/>
        </w:rPr>
      </w:pPr>
      <w:r>
        <w:rPr>
          <w:rFonts w:hint="eastAsia" w:ascii="宋体" w:hAnsi="宋体" w:cs="宋体"/>
          <w:szCs w:val="21"/>
        </w:rPr>
        <w:t xml:space="preserve">                                          投标人名称（加盖公章）：</w:t>
      </w:r>
    </w:p>
    <w:p>
      <w:pPr>
        <w:spacing w:line="360" w:lineRule="auto"/>
        <w:ind w:firstLine="5399" w:firstLineChars="2571"/>
        <w:rPr>
          <w:rFonts w:hint="eastAsia" w:ascii="宋体" w:hAnsi="宋体" w:cs="宋体"/>
          <w:szCs w:val="21"/>
        </w:rPr>
      </w:pPr>
    </w:p>
    <w:p>
      <w:pPr>
        <w:spacing w:line="360" w:lineRule="auto"/>
        <w:jc w:val="center"/>
        <w:rPr>
          <w:rFonts w:hint="eastAsia" w:ascii="宋体" w:hAnsi="宋体" w:cs="宋体"/>
          <w:szCs w:val="21"/>
        </w:rPr>
      </w:pPr>
      <w:r>
        <w:rPr>
          <w:rFonts w:hint="eastAsia" w:ascii="宋体" w:hAnsi="宋体" w:cs="宋体"/>
          <w:szCs w:val="21"/>
        </w:rPr>
        <w:t xml:space="preserve">                           法定代表人或授权委托人（签名或盖章）： </w:t>
      </w:r>
    </w:p>
    <w:p>
      <w:pPr>
        <w:spacing w:line="360" w:lineRule="auto"/>
        <w:ind w:firstLine="5399" w:firstLineChars="2571"/>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 xml:space="preserve">                                           日  期：</w:t>
      </w:r>
    </w:p>
    <w:p>
      <w:pPr>
        <w:rPr>
          <w:rFonts w:hint="eastAsia" w:ascii="宋体" w:hAnsi="宋体" w:cs="宋体"/>
        </w:rPr>
      </w:pPr>
    </w:p>
    <w:p>
      <w:pPr>
        <w:rPr>
          <w:rFonts w:hint="eastAsia"/>
        </w:rPr>
      </w:pPr>
    </w:p>
    <w:p>
      <w:pPr>
        <w:rPr>
          <w:rFonts w:hint="eastAsia" w:ascii="宋体" w:hAnsi="宋体" w:cs="宋体"/>
          <w:sz w:val="28"/>
          <w:szCs w:val="28"/>
        </w:rPr>
      </w:pPr>
    </w:p>
    <w:p>
      <w:pPr>
        <w:rPr>
          <w:rFonts w:hint="eastAsia"/>
        </w:rPr>
      </w:pP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表5-</w:t>
      </w:r>
      <w:r>
        <w:rPr>
          <w:rFonts w:hint="eastAsia" w:ascii="宋体" w:hAnsi="宋体" w:cs="宋体"/>
          <w:sz w:val="28"/>
          <w:szCs w:val="28"/>
          <w:lang w:val="en-US" w:eastAsia="zh-CN"/>
        </w:rPr>
        <w:t>11</w:t>
      </w:r>
      <w:r>
        <w:rPr>
          <w:rFonts w:hint="eastAsia" w:ascii="宋体" w:hAnsi="宋体" w:cs="宋体"/>
          <w:sz w:val="28"/>
          <w:szCs w:val="28"/>
        </w:rPr>
        <w:t xml:space="preserve"> </w:t>
      </w:r>
      <w:bookmarkEnd w:id="71"/>
      <w:bookmarkEnd w:id="72"/>
      <w:bookmarkEnd w:id="73"/>
      <w:bookmarkStart w:id="77" w:name="_Toc421004205"/>
      <w:bookmarkStart w:id="78" w:name="_Toc421205768"/>
      <w:bookmarkStart w:id="79" w:name="_Toc420684771"/>
      <w:r>
        <w:rPr>
          <w:rFonts w:hint="eastAsia" w:ascii="宋体" w:hAnsi="宋体" w:cs="宋体"/>
          <w:sz w:val="28"/>
          <w:szCs w:val="28"/>
        </w:rPr>
        <w:t xml:space="preserve"> 中标服务费承诺书</w:t>
      </w:r>
      <w:bookmarkEnd w:id="77"/>
      <w:bookmarkEnd w:id="78"/>
      <w:bookmarkEnd w:id="79"/>
    </w:p>
    <w:p>
      <w:pPr>
        <w:spacing w:line="480" w:lineRule="auto"/>
        <w:rPr>
          <w:rFonts w:hint="eastAsia" w:ascii="宋体" w:hAnsi="宋体" w:cs="宋体"/>
          <w:sz w:val="24"/>
        </w:rPr>
      </w:pPr>
    </w:p>
    <w:p>
      <w:pPr>
        <w:spacing w:line="480" w:lineRule="auto"/>
        <w:jc w:val="right"/>
        <w:rPr>
          <w:rFonts w:hint="eastAsia" w:ascii="宋体" w:hAnsi="宋体" w:cs="宋体"/>
        </w:rPr>
      </w:pPr>
      <w:bookmarkStart w:id="80" w:name="_Toc420684772"/>
      <w:bookmarkStart w:id="81" w:name="_Toc421004206"/>
      <w:bookmarkStart w:id="82" w:name="_Toc421205769"/>
      <w:r>
        <w:rPr>
          <w:rFonts w:hint="eastAsia" w:ascii="宋体" w:hAnsi="宋体" w:cs="宋体"/>
        </w:rPr>
        <w:t>承诺书号：</w:t>
      </w:r>
      <w:bookmarkEnd w:id="80"/>
      <w:bookmarkEnd w:id="81"/>
      <w:bookmarkEnd w:id="82"/>
      <w:r>
        <w:rPr>
          <w:rFonts w:hint="eastAsia" w:ascii="宋体" w:hAnsi="宋体" w:cs="宋体"/>
          <w:szCs w:val="21"/>
          <w:lang w:eastAsia="zh-CN"/>
        </w:rPr>
        <w:t>HLSJZSCG-20181229</w:t>
      </w:r>
    </w:p>
    <w:p>
      <w:pPr>
        <w:spacing w:line="480" w:lineRule="auto"/>
        <w:rPr>
          <w:rFonts w:hint="eastAsia" w:ascii="宋体" w:hAnsi="宋体" w:cs="宋体"/>
          <w:b/>
          <w:szCs w:val="21"/>
        </w:rPr>
      </w:pPr>
      <w:r>
        <w:rPr>
          <w:rFonts w:hint="eastAsia" w:ascii="宋体" w:hAnsi="宋体" w:cs="宋体"/>
          <w:b/>
          <w:szCs w:val="21"/>
        </w:rPr>
        <w:t>致：</w:t>
      </w:r>
      <w:r>
        <w:rPr>
          <w:rFonts w:hint="eastAsia" w:ascii="宋体" w:hAnsi="宋体" w:cs="宋体"/>
          <w:b/>
          <w:bCs/>
          <w:lang w:eastAsia="zh-CN"/>
        </w:rPr>
        <w:t>华联世纪工程咨询股份有限公司中山分公司</w:t>
      </w:r>
    </w:p>
    <w:p>
      <w:pPr>
        <w:spacing w:line="460" w:lineRule="exact"/>
        <w:ind w:firstLine="420" w:firstLineChars="200"/>
        <w:rPr>
          <w:rFonts w:hint="eastAsia" w:ascii="宋体" w:hAnsi="宋体" w:cs="宋体"/>
          <w:szCs w:val="21"/>
        </w:rPr>
      </w:pPr>
      <w:r>
        <w:rPr>
          <w:rFonts w:hint="eastAsia" w:ascii="宋体" w:hAnsi="宋体" w:cs="宋体"/>
          <w:szCs w:val="21"/>
        </w:rPr>
        <w:t>如果我方在贵单位组织的</w:t>
      </w:r>
      <w:r>
        <w:rPr>
          <w:rFonts w:hint="eastAsia" w:ascii="宋体" w:hAnsi="宋体" w:cs="宋体"/>
          <w:szCs w:val="21"/>
          <w:lang w:eastAsia="zh-CN"/>
        </w:rPr>
        <w:t>坦洲镇污水处理厂消毒剂采购项目</w:t>
      </w:r>
      <w:r>
        <w:rPr>
          <w:rFonts w:hint="eastAsia" w:ascii="宋体" w:hAnsi="宋体" w:cs="宋体"/>
          <w:szCs w:val="21"/>
        </w:rPr>
        <w:t>（项目编号：</w:t>
      </w:r>
      <w:r>
        <w:rPr>
          <w:rFonts w:hint="eastAsia" w:ascii="宋体" w:hAnsi="宋体" w:cs="宋体"/>
          <w:szCs w:val="21"/>
          <w:lang w:eastAsia="zh-CN"/>
        </w:rPr>
        <w:t>HLSJZSCG-20181229</w:t>
      </w:r>
      <w:r>
        <w:rPr>
          <w:rFonts w:hint="eastAsia" w:ascii="宋体" w:hAnsi="宋体" w:cs="宋体"/>
          <w:szCs w:val="21"/>
        </w:rPr>
        <w:t>）活动中中标，我方保证在收到《中标通知书》后，</w:t>
      </w:r>
      <w:r>
        <w:rPr>
          <w:rFonts w:hint="eastAsia" w:ascii="宋体" w:hAnsi="宋体" w:cs="宋体"/>
          <w:szCs w:val="21"/>
          <w:highlight w:val="none"/>
          <w:u w:val="none"/>
        </w:rPr>
        <w:t>按照招标文件的有关规定</w:t>
      </w:r>
      <w:r>
        <w:rPr>
          <w:rFonts w:hint="eastAsia" w:ascii="宋体" w:hAnsi="宋体" w:cs="宋体"/>
          <w:szCs w:val="21"/>
          <w:highlight w:val="none"/>
          <w:u w:val="none"/>
          <w:lang w:eastAsia="zh-CN"/>
        </w:rPr>
        <w:t>，以转帐或经贵</w:t>
      </w:r>
      <w:r>
        <w:rPr>
          <w:rFonts w:hint="eastAsia" w:ascii="宋体" w:hAnsi="宋体" w:cs="宋体"/>
          <w:szCs w:val="21"/>
          <w:highlight w:val="none"/>
          <w:u w:val="none"/>
          <w:lang w:val="en-US" w:eastAsia="zh-CN"/>
        </w:rPr>
        <w:t>公司认可的一种方式，</w:t>
      </w:r>
      <w:r>
        <w:rPr>
          <w:rFonts w:hint="eastAsia" w:ascii="宋体" w:hAnsi="宋体" w:cs="宋体"/>
          <w:szCs w:val="21"/>
          <w:highlight w:val="none"/>
          <w:u w:val="none"/>
        </w:rPr>
        <w:t>向贵</w:t>
      </w:r>
      <w:r>
        <w:rPr>
          <w:rFonts w:hint="eastAsia" w:ascii="宋体" w:hAnsi="宋体" w:cs="宋体"/>
          <w:szCs w:val="21"/>
          <w:highlight w:val="none"/>
          <w:u w:val="none"/>
          <w:lang w:eastAsia="zh-CN"/>
        </w:rPr>
        <w:t>公司即</w:t>
      </w:r>
      <w:r>
        <w:rPr>
          <w:rFonts w:hint="eastAsia" w:ascii="宋体" w:hAnsi="宋体" w:cs="宋体"/>
          <w:b/>
          <w:highlight w:val="none"/>
          <w:u w:val="none"/>
          <w:lang w:eastAsia="zh-CN"/>
        </w:rPr>
        <w:t>华联世纪工程咨询股份有限公司中山分公司</w:t>
      </w:r>
      <w:r>
        <w:rPr>
          <w:rFonts w:hint="eastAsia" w:ascii="宋体" w:hAnsi="宋体" w:cs="宋体"/>
          <w:szCs w:val="21"/>
          <w:highlight w:val="none"/>
          <w:u w:val="none"/>
        </w:rPr>
        <w:t>交纳中标服务费。</w:t>
      </w:r>
    </w:p>
    <w:p>
      <w:pPr>
        <w:spacing w:line="480" w:lineRule="auto"/>
        <w:ind w:firstLine="420" w:firstLineChars="200"/>
        <w:rPr>
          <w:rFonts w:hint="eastAsia" w:ascii="宋体" w:hAnsi="宋体" w:cs="宋体"/>
          <w:szCs w:val="21"/>
        </w:rPr>
      </w:pPr>
    </w:p>
    <w:p>
      <w:pPr>
        <w:spacing w:line="480" w:lineRule="auto"/>
        <w:ind w:firstLine="539"/>
        <w:rPr>
          <w:rFonts w:hint="eastAsia" w:ascii="宋体" w:hAnsi="宋体" w:cs="宋体"/>
          <w:szCs w:val="21"/>
        </w:rPr>
      </w:pPr>
      <w:r>
        <w:rPr>
          <w:rFonts w:hint="eastAsia" w:ascii="宋体" w:hAnsi="宋体" w:cs="宋体"/>
          <w:szCs w:val="21"/>
        </w:rPr>
        <w:t>我方如违反上款承诺，自愿接受贵单位按上述承诺金额的200％在我方提交的投标保证金及买方根据中标合同约定支付给我方的合同款中扣付。</w:t>
      </w:r>
    </w:p>
    <w:p>
      <w:pPr>
        <w:spacing w:line="480" w:lineRule="auto"/>
        <w:ind w:firstLine="540"/>
        <w:rPr>
          <w:rFonts w:hint="eastAsia" w:ascii="宋体" w:hAnsi="宋体" w:cs="宋体"/>
          <w:szCs w:val="21"/>
        </w:rPr>
      </w:pPr>
      <w:r>
        <w:rPr>
          <w:rFonts w:hint="eastAsia" w:ascii="宋体" w:hAnsi="宋体" w:cs="宋体"/>
          <w:szCs w:val="21"/>
        </w:rPr>
        <w:t>特此承诺！</w:t>
      </w:r>
    </w:p>
    <w:p>
      <w:pPr>
        <w:spacing w:line="480" w:lineRule="auto"/>
        <w:ind w:firstLine="540"/>
        <w:rPr>
          <w:rFonts w:hint="eastAsia" w:ascii="宋体" w:hAnsi="宋体" w:cs="宋体"/>
          <w:szCs w:val="21"/>
        </w:rPr>
      </w:pPr>
    </w:p>
    <w:p>
      <w:pPr>
        <w:spacing w:line="480" w:lineRule="auto"/>
        <w:ind w:left="1438" w:leftChars="685" w:firstLine="2730" w:firstLineChars="1300"/>
        <w:rPr>
          <w:rFonts w:hint="eastAsia" w:ascii="宋体" w:hAnsi="宋体" w:cs="宋体"/>
          <w:szCs w:val="21"/>
        </w:rPr>
      </w:pPr>
      <w:r>
        <w:rPr>
          <w:rFonts w:hint="eastAsia" w:ascii="宋体" w:hAnsi="宋体" w:cs="宋体"/>
          <w:szCs w:val="21"/>
        </w:rPr>
        <w:t>投标人名称（加盖公章）；</w:t>
      </w:r>
    </w:p>
    <w:p>
      <w:pPr>
        <w:spacing w:line="480" w:lineRule="auto"/>
        <w:ind w:left="1438" w:leftChars="685"/>
        <w:rPr>
          <w:rFonts w:hint="eastAsia" w:ascii="宋体" w:hAnsi="宋体" w:cs="宋体"/>
          <w:szCs w:val="21"/>
        </w:rPr>
      </w:pPr>
    </w:p>
    <w:p>
      <w:pPr>
        <w:spacing w:line="480" w:lineRule="auto"/>
        <w:ind w:left="1438" w:leftChars="685" w:firstLine="2730" w:firstLineChars="1300"/>
        <w:rPr>
          <w:rFonts w:hint="eastAsia" w:ascii="宋体" w:hAnsi="宋体" w:cs="宋体"/>
          <w:szCs w:val="21"/>
        </w:rPr>
      </w:pPr>
      <w:bookmarkStart w:id="83" w:name="_Toc421004207"/>
      <w:bookmarkStart w:id="84" w:name="_Toc421205770"/>
      <w:bookmarkStart w:id="85" w:name="_Toc420684773"/>
      <w:r>
        <w:rPr>
          <w:rFonts w:hint="eastAsia" w:ascii="宋体" w:hAnsi="宋体" w:cs="宋体"/>
          <w:szCs w:val="21"/>
        </w:rPr>
        <w:t>法定代表人或授权委托人（签名或盖章）：</w:t>
      </w:r>
      <w:bookmarkEnd w:id="83"/>
      <w:bookmarkEnd w:id="84"/>
      <w:bookmarkEnd w:id="85"/>
    </w:p>
    <w:p>
      <w:pPr>
        <w:spacing w:line="480" w:lineRule="auto"/>
        <w:ind w:left="1438" w:leftChars="685" w:firstLine="2730" w:firstLineChars="1300"/>
        <w:rPr>
          <w:rFonts w:hint="eastAsia" w:ascii="宋体" w:hAnsi="宋体" w:cs="宋体"/>
          <w:szCs w:val="21"/>
        </w:rPr>
      </w:pPr>
    </w:p>
    <w:p>
      <w:pPr>
        <w:spacing w:line="480" w:lineRule="auto"/>
        <w:ind w:left="1438" w:leftChars="685" w:firstLine="2730" w:firstLineChars="1300"/>
        <w:rPr>
          <w:rFonts w:hint="eastAsia" w:ascii="宋体" w:hAnsi="宋体" w:cs="宋体"/>
          <w:szCs w:val="21"/>
        </w:rPr>
      </w:pPr>
      <w:r>
        <w:rPr>
          <w:rFonts w:hint="eastAsia" w:ascii="宋体" w:hAnsi="宋体" w:cs="宋体"/>
          <w:szCs w:val="21"/>
        </w:rPr>
        <w:t>电    话：</w:t>
      </w:r>
    </w:p>
    <w:p>
      <w:pPr>
        <w:spacing w:line="480" w:lineRule="auto"/>
        <w:ind w:left="1438" w:leftChars="685"/>
        <w:rPr>
          <w:rFonts w:hint="eastAsia" w:ascii="宋体" w:hAnsi="宋体" w:cs="宋体"/>
          <w:szCs w:val="21"/>
        </w:rPr>
      </w:pPr>
    </w:p>
    <w:p>
      <w:pPr>
        <w:spacing w:line="480" w:lineRule="auto"/>
        <w:ind w:left="1438" w:leftChars="685" w:firstLine="2730" w:firstLineChars="1300"/>
        <w:rPr>
          <w:rFonts w:hint="eastAsia" w:ascii="宋体" w:hAnsi="宋体" w:cs="宋体"/>
          <w:szCs w:val="21"/>
        </w:rPr>
      </w:pPr>
      <w:r>
        <w:rPr>
          <w:rFonts w:hint="eastAsia" w:ascii="宋体" w:hAnsi="宋体" w:cs="宋体"/>
          <w:szCs w:val="21"/>
        </w:rPr>
        <w:t>传    真：</w:t>
      </w:r>
    </w:p>
    <w:p>
      <w:pPr>
        <w:pStyle w:val="25"/>
        <w:spacing w:line="480" w:lineRule="auto"/>
        <w:ind w:firstLine="4200" w:firstLineChars="2000"/>
        <w:rPr>
          <w:rFonts w:hint="eastAsia" w:hAnsi="宋体" w:cs="宋体"/>
        </w:rPr>
      </w:pPr>
    </w:p>
    <w:p>
      <w:pPr>
        <w:pStyle w:val="25"/>
        <w:spacing w:line="480" w:lineRule="auto"/>
        <w:ind w:firstLine="4200" w:firstLineChars="2000"/>
        <w:rPr>
          <w:rFonts w:hint="eastAsia" w:hAnsi="宋体" w:cs="宋体"/>
        </w:rPr>
      </w:pPr>
      <w:r>
        <w:rPr>
          <w:rFonts w:hint="eastAsia" w:hAnsi="宋体" w:cs="宋体"/>
        </w:rPr>
        <w:t>承诺日期：            年    月    日</w:t>
      </w:r>
    </w:p>
    <w:p>
      <w:pPr>
        <w:pStyle w:val="25"/>
        <w:spacing w:line="480" w:lineRule="auto"/>
        <w:ind w:firstLine="4200" w:firstLineChars="2000"/>
        <w:rPr>
          <w:rFonts w:hint="eastAsia" w:hAnsi="宋体" w:cs="宋体"/>
        </w:rPr>
      </w:pPr>
    </w:p>
    <w:p>
      <w:pPr>
        <w:pStyle w:val="25"/>
        <w:spacing w:line="480" w:lineRule="auto"/>
        <w:ind w:firstLine="4200" w:firstLineChars="2000"/>
        <w:rPr>
          <w:rFonts w:hint="eastAsia" w:hAnsi="宋体" w:cs="宋体"/>
        </w:rPr>
      </w:pPr>
    </w:p>
    <w:p>
      <w:pPr>
        <w:pStyle w:val="25"/>
        <w:spacing w:line="480" w:lineRule="auto"/>
        <w:ind w:firstLine="4200" w:firstLineChars="2000"/>
        <w:rPr>
          <w:rFonts w:hint="eastAsia" w:hAnsi="宋体" w:cs="宋体"/>
        </w:rPr>
      </w:pPr>
    </w:p>
    <w:p>
      <w:pPr>
        <w:pStyle w:val="25"/>
        <w:spacing w:line="480" w:lineRule="auto"/>
        <w:ind w:firstLine="4200" w:firstLineChars="2000"/>
        <w:rPr>
          <w:rFonts w:hint="eastAsia" w:hAnsi="宋体" w:cs="宋体"/>
        </w:rPr>
      </w:pPr>
    </w:p>
    <w:p>
      <w:pPr>
        <w:pStyle w:val="25"/>
        <w:spacing w:line="480" w:lineRule="auto"/>
        <w:ind w:firstLine="4200" w:firstLineChars="2000"/>
        <w:rPr>
          <w:rFonts w:hint="eastAsia" w:hAnsi="宋体" w:cs="宋体"/>
        </w:rPr>
      </w:pPr>
    </w:p>
    <w:p>
      <w:pPr>
        <w:rPr>
          <w:rFonts w:hint="eastAsia" w:ascii="宋体" w:hAnsi="宋体" w:cs="宋体"/>
          <w:sz w:val="28"/>
          <w:szCs w:val="28"/>
        </w:rPr>
      </w:pPr>
      <w:bookmarkStart w:id="86" w:name="_Toc421205771"/>
      <w:bookmarkStart w:id="87" w:name="_Toc421004208"/>
      <w:bookmarkStart w:id="88" w:name="_Toc420684774"/>
    </w:p>
    <w:p>
      <w:pPr>
        <w:rPr>
          <w:rFonts w:hint="eastAsia" w:ascii="宋体" w:hAnsi="宋体" w:cs="宋体"/>
          <w:sz w:val="28"/>
          <w:szCs w:val="28"/>
        </w:rPr>
      </w:pPr>
      <w:r>
        <w:rPr>
          <w:rFonts w:hint="eastAsia" w:ascii="宋体" w:hAnsi="宋体" w:cs="宋体"/>
          <w:sz w:val="28"/>
          <w:szCs w:val="28"/>
        </w:rPr>
        <w:t>表5-1</w:t>
      </w:r>
      <w:bookmarkEnd w:id="86"/>
      <w:bookmarkEnd w:id="87"/>
      <w:bookmarkEnd w:id="88"/>
      <w:r>
        <w:rPr>
          <w:rFonts w:hint="eastAsia" w:ascii="宋体" w:hAnsi="宋体" w:cs="宋体"/>
          <w:sz w:val="28"/>
          <w:szCs w:val="28"/>
          <w:lang w:val="en-US" w:eastAsia="zh-CN"/>
        </w:rPr>
        <w:t>2</w:t>
      </w:r>
      <w:r>
        <w:rPr>
          <w:rFonts w:hint="eastAsia" w:ascii="宋体" w:hAnsi="宋体" w:cs="宋体"/>
          <w:sz w:val="28"/>
          <w:szCs w:val="28"/>
        </w:rPr>
        <w:t xml:space="preserve">  投标保证金汇款凭证复印件</w:t>
      </w:r>
    </w:p>
    <w:p>
      <w:pPr>
        <w:rPr>
          <w:rFonts w:hint="eastAsia" w:ascii="宋体" w:hAnsi="宋体" w:cs="宋体"/>
        </w:rPr>
      </w:pPr>
    </w:p>
    <w:p>
      <w:pPr>
        <w:pStyle w:val="7"/>
        <w:spacing w:line="360" w:lineRule="auto"/>
        <w:rPr>
          <w:rFonts w:hint="eastAsia" w:ascii="宋体" w:hAnsi="宋体" w:cs="宋体"/>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p>
    <w:p>
      <w:pPr>
        <w:rPr>
          <w:rFonts w:hint="eastAsia" w:ascii="宋体" w:hAnsi="宋体" w:cs="宋体"/>
        </w:rPr>
      </w:pPr>
      <w:r>
        <w:rPr>
          <w:rFonts w:hint="eastAsia" w:ascii="宋体" w:hAnsi="宋体" w:cs="宋体"/>
        </w:rPr>
        <w:pict>
          <v:rect id="Rectangle 4" o:spid="_x0000_s1031" o:spt="1" style="position:absolute;left:0pt;margin-left:45pt;margin-top:10.6pt;height:181.6pt;width:405pt;z-index:-251655168;mso-width-relative:page;mso-height-relative:page;" fillcolor="#FFFFFF" filled="t" stroked="t" coordsize="21600,21600">
            <v:path/>
            <v:fill on="t" focussize="0,0"/>
            <v:stroke/>
            <v:imagedata o:title=""/>
            <o:lock v:ext="edit" grouping="f" rotation="f" text="f" aspectratio="f"/>
          </v:rect>
        </w:pic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rPr>
          <w:rFonts w:hint="eastAsia" w:ascii="宋体" w:hAnsi="宋体" w:cs="宋体"/>
          <w:sz w:val="28"/>
          <w:szCs w:val="28"/>
        </w:rPr>
      </w:pPr>
      <w:r>
        <w:rPr>
          <w:rFonts w:hint="eastAsia" w:ascii="宋体" w:hAnsi="宋体" w:cs="宋体"/>
          <w:sz w:val="28"/>
          <w:szCs w:val="28"/>
        </w:rPr>
        <w:t>粘贴投标保证金汇款凭证复印件</w:t>
      </w:r>
    </w:p>
    <w:p>
      <w:pPr>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4319" w:firstLineChars="2057"/>
        <w:rPr>
          <w:rFonts w:hint="eastAsia" w:ascii="宋体" w:hAnsi="宋体" w:cs="宋体"/>
          <w:szCs w:val="21"/>
        </w:rPr>
      </w:pPr>
    </w:p>
    <w:p>
      <w:pPr>
        <w:spacing w:line="360" w:lineRule="auto"/>
        <w:ind w:firstLine="4319" w:firstLineChars="2057"/>
        <w:rPr>
          <w:rFonts w:hint="eastAsia" w:ascii="宋体" w:hAnsi="宋体" w:cs="宋体"/>
          <w:szCs w:val="21"/>
        </w:rPr>
      </w:pPr>
    </w:p>
    <w:p>
      <w:pPr>
        <w:spacing w:line="360" w:lineRule="auto"/>
        <w:ind w:firstLine="4319" w:firstLineChars="2057"/>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jc w:val="center"/>
        <w:rPr>
          <w:rFonts w:hint="eastAsia" w:ascii="宋体" w:hAnsi="宋体" w:cs="宋体"/>
          <w:b/>
          <w:bCs/>
          <w:sz w:val="30"/>
        </w:rPr>
      </w:pPr>
    </w:p>
    <w:p>
      <w:pPr>
        <w:jc w:val="center"/>
        <w:rPr>
          <w:rFonts w:hint="eastAsia" w:ascii="宋体" w:hAnsi="宋体" w:cs="宋体"/>
          <w:b/>
          <w:bCs/>
          <w:sz w:val="30"/>
        </w:rPr>
      </w:pPr>
    </w:p>
    <w:p>
      <w:pPr>
        <w:jc w:val="center"/>
        <w:rPr>
          <w:rFonts w:hint="eastAsia" w:ascii="宋体" w:hAnsi="宋体" w:cs="宋体"/>
          <w:b/>
          <w:bCs/>
          <w:sz w:val="30"/>
        </w:rPr>
      </w:pPr>
    </w:p>
    <w:p>
      <w:pPr>
        <w:jc w:val="center"/>
        <w:rPr>
          <w:rFonts w:hint="eastAsia" w:ascii="宋体" w:hAnsi="宋体" w:cs="宋体"/>
          <w:b/>
          <w:bCs/>
          <w:sz w:val="30"/>
        </w:rPr>
      </w:pPr>
    </w:p>
    <w:p>
      <w:pPr>
        <w:jc w:val="center"/>
        <w:rPr>
          <w:rFonts w:hint="eastAsia" w:ascii="宋体" w:hAnsi="宋体" w:cs="宋体"/>
          <w:b/>
          <w:bCs/>
          <w:sz w:val="30"/>
        </w:rPr>
      </w:pPr>
    </w:p>
    <w:p>
      <w:pPr>
        <w:pStyle w:val="99"/>
        <w:rPr>
          <w:rFonts w:hint="eastAsia" w:ascii="宋体" w:hAnsi="宋体" w:eastAsia="宋体" w:cs="宋体"/>
          <w:szCs w:val="21"/>
        </w:rPr>
      </w:pP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表5-1</w:t>
      </w:r>
      <w:r>
        <w:rPr>
          <w:rFonts w:hint="eastAsia" w:ascii="宋体" w:hAnsi="宋体" w:cs="宋体"/>
          <w:sz w:val="28"/>
          <w:szCs w:val="28"/>
          <w:lang w:val="en-US" w:eastAsia="zh-CN"/>
        </w:rPr>
        <w:t>3</w:t>
      </w:r>
      <w:r>
        <w:rPr>
          <w:rFonts w:hint="eastAsia" w:ascii="宋体" w:hAnsi="宋体" w:cs="宋体"/>
          <w:sz w:val="28"/>
          <w:szCs w:val="28"/>
        </w:rPr>
        <w:t xml:space="preserve">  资格声明函</w:t>
      </w:r>
    </w:p>
    <w:p>
      <w:pPr>
        <w:pStyle w:val="7"/>
        <w:spacing w:line="360" w:lineRule="auto"/>
        <w:rPr>
          <w:rFonts w:hint="eastAsia" w:ascii="宋体" w:hAnsi="宋体" w:cs="宋体"/>
          <w:szCs w:val="21"/>
        </w:rPr>
      </w:pPr>
    </w:p>
    <w:p>
      <w:pPr>
        <w:pStyle w:val="7"/>
        <w:spacing w:line="360" w:lineRule="auto"/>
        <w:rPr>
          <w:rFonts w:hint="eastAsia" w:ascii="宋体" w:hAnsi="宋体" w:cs="宋体"/>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p>
      <w:pPr>
        <w:spacing w:before="120" w:beforeLines="50" w:after="120" w:afterLines="50" w:line="360" w:lineRule="auto"/>
        <w:rPr>
          <w:rFonts w:hint="eastAsia" w:ascii="宋体" w:hAnsi="宋体" w:cs="宋体"/>
        </w:rPr>
      </w:pPr>
    </w:p>
    <w:p>
      <w:pPr>
        <w:spacing w:line="360" w:lineRule="auto"/>
        <w:ind w:left="2"/>
        <w:rPr>
          <w:rFonts w:hint="eastAsia" w:ascii="宋体" w:hAnsi="宋体" w:cs="宋体"/>
        </w:rPr>
      </w:pPr>
      <w:r>
        <w:rPr>
          <w:rFonts w:hint="eastAsia" w:ascii="宋体" w:hAnsi="宋体" w:cs="宋体"/>
        </w:rPr>
        <w:t>致：</w:t>
      </w:r>
      <w:r>
        <w:rPr>
          <w:rFonts w:hint="eastAsia" w:ascii="宋体" w:hAnsi="宋体" w:cs="宋体"/>
          <w:lang w:eastAsia="zh-CN"/>
        </w:rPr>
        <w:t>华联世纪工程咨询股份有限公司中山分公司</w:t>
      </w: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本公司郑重承诺：</w:t>
      </w:r>
    </w:p>
    <w:p>
      <w:pPr>
        <w:spacing w:line="360" w:lineRule="auto"/>
        <w:ind w:firstLine="420" w:firstLineChars="200"/>
        <w:rPr>
          <w:rFonts w:hint="eastAsia" w:ascii="宋体" w:hAnsi="宋体" w:cs="宋体"/>
          <w:szCs w:val="21"/>
        </w:rPr>
      </w:pPr>
      <w:r>
        <w:rPr>
          <w:rFonts w:hint="eastAsia" w:ascii="宋体" w:hAnsi="宋体" w:cs="宋体"/>
        </w:rPr>
        <w:t>我司参与</w:t>
      </w:r>
      <w:r>
        <w:rPr>
          <w:rFonts w:hint="eastAsia" w:ascii="宋体" w:hAnsi="宋体" w:cs="宋体"/>
          <w:szCs w:val="21"/>
          <w:lang w:eastAsia="zh-CN"/>
        </w:rPr>
        <w:t>坦洲镇污水处理厂消毒剂采购项目</w:t>
      </w:r>
      <w:r>
        <w:rPr>
          <w:rFonts w:hint="eastAsia" w:ascii="宋体" w:hAnsi="宋体" w:cs="宋体"/>
        </w:rPr>
        <w:t xml:space="preserve"> (项目编号：</w:t>
      </w:r>
      <w:r>
        <w:rPr>
          <w:rFonts w:hint="eastAsia" w:ascii="宋体" w:hAnsi="宋体" w:cs="宋体"/>
          <w:kern w:val="28"/>
          <w:lang w:eastAsia="zh-CN"/>
        </w:rPr>
        <w:t>HLSJZSCG-20181229</w:t>
      </w:r>
      <w:r>
        <w:rPr>
          <w:rFonts w:hint="eastAsia" w:ascii="宋体" w:hAnsi="宋体" w:cs="宋体"/>
        </w:rPr>
        <w:t>)的采购活动，我司符合以下条件：</w:t>
      </w:r>
      <w:r>
        <w:rPr>
          <w:rFonts w:hint="eastAsia" w:ascii="宋体" w:hAnsi="宋体" w:cs="宋体"/>
          <w:szCs w:val="21"/>
        </w:rPr>
        <w:t>具有独立承担民事责任的能力，</w:t>
      </w:r>
      <w:r>
        <w:rPr>
          <w:rFonts w:hint="eastAsia" w:ascii="宋体" w:hAnsi="宋体" w:cs="宋体"/>
        </w:rPr>
        <w:t>具有良好的商业信誉和健全的财务会计制度，具有履行合同所必需的设备和专业技术能力，具有依法缴纳税收和社会保障资金的良好记录，</w:t>
      </w:r>
      <w:r>
        <w:rPr>
          <w:rFonts w:hint="eastAsia" w:ascii="宋体" w:hAnsi="宋体" w:cs="宋体"/>
          <w:szCs w:val="21"/>
        </w:rPr>
        <w:t>参加招投标活动前三年内，在经营活动中没有重大违法记录。</w:t>
      </w:r>
    </w:p>
    <w:p>
      <w:pPr>
        <w:spacing w:line="360" w:lineRule="auto"/>
        <w:ind w:firstLine="420" w:firstLineChars="200"/>
        <w:rPr>
          <w:rFonts w:hint="eastAsia" w:ascii="宋体" w:hAnsi="宋体" w:cs="宋体"/>
          <w:szCs w:val="21"/>
        </w:rPr>
      </w:pPr>
      <w:r>
        <w:rPr>
          <w:rFonts w:hint="eastAsia" w:ascii="宋体" w:hAnsi="宋体" w:cs="宋体"/>
          <w:szCs w:val="21"/>
        </w:rPr>
        <w:t>我司承诺不是为招标项目提供整体设计、规范编制或者项目管理、监理、检测等服务的投标人及其附属机构。</w:t>
      </w:r>
    </w:p>
    <w:p>
      <w:pPr>
        <w:spacing w:line="360" w:lineRule="auto"/>
        <w:ind w:firstLine="420" w:firstLineChars="200"/>
        <w:rPr>
          <w:rFonts w:hint="eastAsia" w:ascii="宋体" w:hAnsi="宋体" w:cs="宋体"/>
        </w:rPr>
      </w:pPr>
      <w:r>
        <w:rPr>
          <w:rFonts w:hint="eastAsia" w:ascii="宋体" w:hAnsi="宋体" w:cs="宋体"/>
        </w:rPr>
        <w:t>我司承诺参与招标活动中所提供的资料文件真实有效，正确无误。</w:t>
      </w:r>
    </w:p>
    <w:p>
      <w:pPr>
        <w:widowControl/>
        <w:tabs>
          <w:tab w:val="left" w:pos="926"/>
        </w:tabs>
        <w:snapToGrid w:val="0"/>
        <w:spacing w:line="460" w:lineRule="exact"/>
        <w:ind w:firstLine="420" w:firstLineChars="200"/>
        <w:rPr>
          <w:rFonts w:hint="eastAsia" w:ascii="宋体" w:hAnsi="宋体" w:cs="宋体"/>
          <w:b/>
          <w:sz w:val="44"/>
          <w:szCs w:val="44"/>
        </w:rPr>
      </w:pPr>
      <w:r>
        <w:rPr>
          <w:rFonts w:hint="eastAsia" w:ascii="宋体" w:hAnsi="宋体" w:cs="宋体"/>
          <w:szCs w:val="21"/>
        </w:rPr>
        <w:t>本公司对上述承诺的真实性负责。如有虚假，将依法承担相应责任。</w:t>
      </w:r>
    </w:p>
    <w:p>
      <w:pPr>
        <w:widowControl/>
        <w:tabs>
          <w:tab w:val="left" w:pos="926"/>
        </w:tabs>
        <w:snapToGrid w:val="0"/>
        <w:spacing w:line="460" w:lineRule="exact"/>
        <w:jc w:val="center"/>
        <w:rPr>
          <w:rFonts w:hint="eastAsia" w:ascii="宋体" w:hAnsi="宋体" w:cs="宋体"/>
          <w:b/>
          <w:sz w:val="44"/>
          <w:szCs w:val="44"/>
        </w:rPr>
      </w:pPr>
    </w:p>
    <w:p>
      <w:pPr>
        <w:widowControl/>
        <w:tabs>
          <w:tab w:val="left" w:pos="926"/>
        </w:tabs>
        <w:snapToGrid w:val="0"/>
        <w:spacing w:line="460" w:lineRule="exact"/>
        <w:jc w:val="center"/>
        <w:rPr>
          <w:rFonts w:hint="eastAsia" w:ascii="宋体" w:hAnsi="宋体" w:cs="宋体"/>
          <w:b/>
          <w:sz w:val="44"/>
          <w:szCs w:val="44"/>
        </w:rPr>
      </w:pPr>
    </w:p>
    <w:p>
      <w:pPr>
        <w:widowControl/>
        <w:tabs>
          <w:tab w:val="left" w:pos="926"/>
        </w:tabs>
        <w:snapToGrid w:val="0"/>
        <w:spacing w:line="460" w:lineRule="exact"/>
        <w:jc w:val="center"/>
        <w:rPr>
          <w:rFonts w:hint="eastAsia" w:ascii="宋体" w:hAnsi="宋体" w:cs="宋体"/>
          <w:b/>
          <w:sz w:val="44"/>
          <w:szCs w:val="44"/>
        </w:rPr>
      </w:pPr>
    </w:p>
    <w:p>
      <w:pPr>
        <w:widowControl/>
        <w:tabs>
          <w:tab w:val="left" w:pos="926"/>
        </w:tabs>
        <w:snapToGrid w:val="0"/>
        <w:spacing w:line="460" w:lineRule="exact"/>
        <w:jc w:val="center"/>
        <w:rPr>
          <w:rFonts w:hint="eastAsia" w:ascii="宋体" w:hAnsi="宋体" w:cs="宋体"/>
          <w:b/>
          <w:sz w:val="44"/>
          <w:szCs w:val="44"/>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jc w:val="both"/>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 w:val="52"/>
          <w:szCs w:val="52"/>
        </w:rPr>
      </w:pPr>
      <w:bookmarkStart w:id="89" w:name="_Toc420684777"/>
      <w:bookmarkStart w:id="90" w:name="_Toc421004211"/>
      <w:bookmarkStart w:id="91" w:name="_Toc421205774"/>
      <w:r>
        <w:rPr>
          <w:rFonts w:hint="eastAsia" w:ascii="宋体" w:hAnsi="宋体" w:eastAsia="宋体" w:cs="宋体"/>
          <w:sz w:val="36"/>
          <w:szCs w:val="36"/>
        </w:rPr>
        <w:t>第三部分  技术文件格式</w:t>
      </w:r>
      <w:bookmarkEnd w:id="89"/>
      <w:bookmarkEnd w:id="90"/>
      <w:bookmarkEnd w:id="91"/>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rPr>
          <w:rFonts w:hint="eastAsia" w:ascii="宋体" w:hAnsi="宋体" w:cs="宋体"/>
          <w:b/>
          <w:sz w:val="30"/>
        </w:rPr>
      </w:pPr>
    </w:p>
    <w:p>
      <w:pPr>
        <w:rPr>
          <w:rFonts w:hint="eastAsia" w:ascii="宋体" w:hAnsi="宋体" w:cs="宋体"/>
          <w:sz w:val="28"/>
          <w:szCs w:val="28"/>
        </w:rPr>
      </w:pPr>
      <w:r>
        <w:rPr>
          <w:rFonts w:hint="eastAsia" w:ascii="宋体" w:hAnsi="宋体" w:cs="宋体"/>
          <w:sz w:val="28"/>
          <w:szCs w:val="28"/>
        </w:rPr>
        <w:t>表5-1</w:t>
      </w:r>
      <w:r>
        <w:rPr>
          <w:rFonts w:hint="eastAsia" w:ascii="宋体" w:hAnsi="宋体" w:cs="宋体"/>
          <w:sz w:val="28"/>
          <w:szCs w:val="28"/>
          <w:lang w:val="en-US" w:eastAsia="zh-CN"/>
        </w:rPr>
        <w:t>4</w:t>
      </w:r>
      <w:r>
        <w:rPr>
          <w:rFonts w:hint="eastAsia" w:ascii="宋体" w:hAnsi="宋体" w:cs="宋体"/>
          <w:sz w:val="28"/>
          <w:szCs w:val="28"/>
        </w:rPr>
        <w:t xml:space="preserve">  技术规格偏离表</w:t>
      </w:r>
    </w:p>
    <w:p>
      <w:pPr>
        <w:spacing w:line="360" w:lineRule="auto"/>
        <w:jc w:val="left"/>
        <w:rPr>
          <w:rFonts w:hint="eastAsia" w:ascii="宋体" w:hAnsi="宋体" w:cs="宋体"/>
          <w:b/>
          <w:sz w:val="30"/>
          <w:szCs w:val="30"/>
        </w:rPr>
      </w:pPr>
    </w:p>
    <w:p>
      <w:pPr>
        <w:spacing w:line="360" w:lineRule="auto"/>
        <w:ind w:firstLine="210" w:firstLineChars="100"/>
        <w:jc w:val="left"/>
        <w:rPr>
          <w:rFonts w:hint="eastAsia" w:ascii="宋体" w:hAnsi="宋体" w:cs="宋体"/>
          <w:b/>
          <w:sz w:val="30"/>
          <w:szCs w:val="30"/>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p>
    <w:tbl>
      <w:tblPr>
        <w:tblStyle w:val="55"/>
        <w:tblW w:w="967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2"/>
        <w:gridCol w:w="1260"/>
        <w:gridCol w:w="2628"/>
        <w:gridCol w:w="3074"/>
        <w:gridCol w:w="20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35" w:hRule="atLeast"/>
        </w:trPr>
        <w:tc>
          <w:tcPr>
            <w:tcW w:w="672"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szCs w:val="21"/>
              </w:rPr>
            </w:pPr>
            <w:r>
              <w:rPr>
                <w:rFonts w:hint="eastAsia" w:ascii="宋体" w:hAnsi="宋体"/>
                <w:b/>
                <w:szCs w:val="21"/>
              </w:rPr>
              <w:t>序号</w:t>
            </w:r>
          </w:p>
        </w:tc>
        <w:tc>
          <w:tcPr>
            <w:tcW w:w="1260"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szCs w:val="21"/>
              </w:rPr>
            </w:pPr>
            <w:r>
              <w:rPr>
                <w:rFonts w:hint="eastAsia" w:ascii="宋体" w:hAnsi="宋体"/>
                <w:b/>
                <w:szCs w:val="21"/>
              </w:rPr>
              <w:t>货物名称</w:t>
            </w:r>
          </w:p>
        </w:tc>
        <w:tc>
          <w:tcPr>
            <w:tcW w:w="2628"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rPr>
            </w:pPr>
            <w:r>
              <w:rPr>
                <w:rFonts w:hint="eastAsia" w:ascii="宋体" w:hAnsi="宋体"/>
                <w:b/>
              </w:rPr>
              <w:t>招标规格</w:t>
            </w:r>
          </w:p>
        </w:tc>
        <w:tc>
          <w:tcPr>
            <w:tcW w:w="3074"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rPr>
            </w:pPr>
            <w:r>
              <w:rPr>
                <w:rFonts w:hint="eastAsia" w:ascii="宋体" w:hAnsi="宋体"/>
                <w:b/>
              </w:rPr>
              <w:t>投标规格</w:t>
            </w:r>
          </w:p>
        </w:tc>
        <w:tc>
          <w:tcPr>
            <w:tcW w:w="2037"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rPr>
            </w:pPr>
            <w:r>
              <w:rPr>
                <w:rFonts w:hint="eastAsia" w:ascii="宋体" w:hAnsi="宋体"/>
                <w:b/>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trPr>
        <w:tc>
          <w:tcPr>
            <w:tcW w:w="672" w:type="dxa"/>
            <w:tcBorders>
              <w:top w:val="single" w:color="auto" w:sz="6" w:space="0"/>
            </w:tcBorders>
            <w:vAlign w:val="center"/>
          </w:tcPr>
          <w:p>
            <w:pPr>
              <w:spacing w:before="156" w:after="156" w:line="400" w:lineRule="exact"/>
              <w:rPr>
                <w:rFonts w:ascii="宋体" w:hAnsi="宋体"/>
              </w:rPr>
            </w:pPr>
            <w:r>
              <w:rPr>
                <w:rFonts w:hint="eastAsia" w:ascii="宋体" w:hAnsi="宋体"/>
              </w:rPr>
              <w:t> </w:t>
            </w:r>
          </w:p>
        </w:tc>
        <w:tc>
          <w:tcPr>
            <w:tcW w:w="1260" w:type="dxa"/>
            <w:tcBorders>
              <w:top w:val="single" w:color="auto" w:sz="6" w:space="0"/>
            </w:tcBorders>
            <w:vAlign w:val="center"/>
          </w:tcPr>
          <w:p>
            <w:pPr>
              <w:spacing w:before="156" w:after="156" w:line="400" w:lineRule="exact"/>
              <w:rPr>
                <w:rFonts w:ascii="宋体" w:hAnsi="宋体"/>
              </w:rPr>
            </w:pPr>
          </w:p>
        </w:tc>
        <w:tc>
          <w:tcPr>
            <w:tcW w:w="2628" w:type="dxa"/>
            <w:tcBorders>
              <w:top w:val="single" w:color="auto" w:sz="6" w:space="0"/>
            </w:tcBorders>
            <w:vAlign w:val="center"/>
          </w:tcPr>
          <w:p>
            <w:pPr>
              <w:spacing w:before="156" w:after="156" w:line="400" w:lineRule="exact"/>
              <w:rPr>
                <w:rFonts w:ascii="宋体" w:hAnsi="宋体"/>
              </w:rPr>
            </w:pPr>
            <w:r>
              <w:rPr>
                <w:rFonts w:hint="eastAsia" w:ascii="宋体" w:hAnsi="宋体"/>
              </w:rPr>
              <w:t> </w:t>
            </w:r>
          </w:p>
        </w:tc>
        <w:tc>
          <w:tcPr>
            <w:tcW w:w="3074" w:type="dxa"/>
            <w:tcBorders>
              <w:top w:val="single" w:color="auto" w:sz="6" w:space="0"/>
            </w:tcBorders>
            <w:vAlign w:val="top"/>
          </w:tcPr>
          <w:p>
            <w:pPr>
              <w:spacing w:before="156" w:after="156" w:line="400" w:lineRule="exact"/>
              <w:rPr>
                <w:rFonts w:ascii="宋体" w:hAnsi="宋体"/>
              </w:rPr>
            </w:pPr>
            <w:r>
              <w:rPr>
                <w:rFonts w:hint="eastAsia" w:ascii="宋体" w:hAnsi="宋体"/>
              </w:rPr>
              <w:t> </w:t>
            </w:r>
          </w:p>
        </w:tc>
        <w:tc>
          <w:tcPr>
            <w:tcW w:w="2037" w:type="dxa"/>
            <w:tcBorders>
              <w:top w:val="single" w:color="auto" w:sz="6" w:space="0"/>
            </w:tcBorders>
            <w:vAlign w:val="center"/>
          </w:tcPr>
          <w:p>
            <w:pPr>
              <w:spacing w:before="156" w:after="156" w:line="400" w:lineRule="exact"/>
              <w:rPr>
                <w:rFonts w:ascii="宋体" w:hAnsi="宋体"/>
              </w:rPr>
            </w:pPr>
            <w:r>
              <w:rPr>
                <w:rFonts w:hint="eastAsia" w:ascii="宋体" w:hAnsi="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8" w:hRule="atLeast"/>
        </w:trPr>
        <w:tc>
          <w:tcPr>
            <w:tcW w:w="672" w:type="dxa"/>
            <w:vAlign w:val="center"/>
          </w:tcPr>
          <w:p>
            <w:pPr>
              <w:spacing w:before="156" w:after="156" w:line="400" w:lineRule="exact"/>
              <w:rPr>
                <w:rFonts w:ascii="宋体" w:hAnsi="宋体"/>
              </w:rPr>
            </w:pPr>
            <w:r>
              <w:rPr>
                <w:rFonts w:hint="eastAsia" w:ascii="宋体" w:hAnsi="宋体"/>
              </w:rPr>
              <w:t> </w:t>
            </w:r>
          </w:p>
        </w:tc>
        <w:tc>
          <w:tcPr>
            <w:tcW w:w="1260" w:type="dxa"/>
            <w:vAlign w:val="center"/>
          </w:tcPr>
          <w:p>
            <w:pPr>
              <w:spacing w:before="156" w:after="156" w:line="400" w:lineRule="exact"/>
              <w:rPr>
                <w:rFonts w:ascii="宋体" w:hAnsi="宋体"/>
              </w:rPr>
            </w:pPr>
          </w:p>
        </w:tc>
        <w:tc>
          <w:tcPr>
            <w:tcW w:w="2628" w:type="dxa"/>
            <w:vAlign w:val="center"/>
          </w:tcPr>
          <w:p>
            <w:pPr>
              <w:spacing w:before="156" w:after="156" w:line="400" w:lineRule="exact"/>
              <w:rPr>
                <w:rFonts w:ascii="宋体" w:hAnsi="宋体"/>
              </w:rPr>
            </w:pPr>
            <w:r>
              <w:rPr>
                <w:rFonts w:hint="eastAsia" w:ascii="宋体" w:hAnsi="宋体"/>
              </w:rPr>
              <w:t> </w:t>
            </w:r>
          </w:p>
        </w:tc>
        <w:tc>
          <w:tcPr>
            <w:tcW w:w="3074" w:type="dxa"/>
            <w:vAlign w:val="top"/>
          </w:tcPr>
          <w:p>
            <w:pPr>
              <w:spacing w:before="156" w:after="156" w:line="400" w:lineRule="exact"/>
              <w:rPr>
                <w:rFonts w:ascii="宋体" w:hAnsi="宋体"/>
              </w:rPr>
            </w:pPr>
            <w:r>
              <w:rPr>
                <w:rFonts w:hint="eastAsia" w:ascii="宋体" w:hAnsi="宋体"/>
              </w:rPr>
              <w:t> </w:t>
            </w:r>
          </w:p>
        </w:tc>
        <w:tc>
          <w:tcPr>
            <w:tcW w:w="2037" w:type="dxa"/>
            <w:vAlign w:val="center"/>
          </w:tcPr>
          <w:p>
            <w:pPr>
              <w:spacing w:before="156" w:after="156" w:line="400" w:lineRule="exact"/>
              <w:rPr>
                <w:rFonts w:ascii="宋体" w:hAnsi="宋体"/>
              </w:rPr>
            </w:pPr>
            <w:r>
              <w:rPr>
                <w:rFonts w:hint="eastAsia" w:ascii="宋体" w:hAnsi="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8" w:hRule="atLeast"/>
        </w:trPr>
        <w:tc>
          <w:tcPr>
            <w:tcW w:w="672" w:type="dxa"/>
            <w:vAlign w:val="center"/>
          </w:tcPr>
          <w:p>
            <w:pPr>
              <w:spacing w:before="156" w:after="156" w:line="400" w:lineRule="exact"/>
              <w:rPr>
                <w:rFonts w:ascii="宋体" w:hAnsi="宋体"/>
              </w:rPr>
            </w:pPr>
            <w:r>
              <w:rPr>
                <w:rFonts w:hint="eastAsia" w:ascii="宋体" w:hAnsi="宋体"/>
              </w:rPr>
              <w:t> </w:t>
            </w:r>
          </w:p>
        </w:tc>
        <w:tc>
          <w:tcPr>
            <w:tcW w:w="1260" w:type="dxa"/>
            <w:vAlign w:val="center"/>
          </w:tcPr>
          <w:p>
            <w:pPr>
              <w:spacing w:before="156" w:after="156" w:line="400" w:lineRule="exact"/>
              <w:rPr>
                <w:rFonts w:ascii="宋体" w:hAnsi="宋体"/>
              </w:rPr>
            </w:pPr>
          </w:p>
        </w:tc>
        <w:tc>
          <w:tcPr>
            <w:tcW w:w="2628" w:type="dxa"/>
            <w:vAlign w:val="center"/>
          </w:tcPr>
          <w:p>
            <w:pPr>
              <w:spacing w:before="156" w:after="156" w:line="400" w:lineRule="exact"/>
              <w:rPr>
                <w:rFonts w:ascii="宋体" w:hAnsi="宋体"/>
              </w:rPr>
            </w:pPr>
            <w:r>
              <w:rPr>
                <w:rFonts w:hint="eastAsia" w:ascii="宋体" w:hAnsi="宋体"/>
              </w:rPr>
              <w:t> </w:t>
            </w:r>
          </w:p>
        </w:tc>
        <w:tc>
          <w:tcPr>
            <w:tcW w:w="3074" w:type="dxa"/>
            <w:vAlign w:val="top"/>
          </w:tcPr>
          <w:p>
            <w:pPr>
              <w:spacing w:before="156" w:after="156" w:line="400" w:lineRule="exact"/>
              <w:rPr>
                <w:rFonts w:ascii="宋体" w:hAnsi="宋体"/>
              </w:rPr>
            </w:pPr>
            <w:r>
              <w:rPr>
                <w:rFonts w:hint="eastAsia" w:ascii="宋体" w:hAnsi="宋体"/>
              </w:rPr>
              <w:t> </w:t>
            </w:r>
          </w:p>
        </w:tc>
        <w:tc>
          <w:tcPr>
            <w:tcW w:w="2037" w:type="dxa"/>
            <w:vAlign w:val="center"/>
          </w:tcPr>
          <w:p>
            <w:pPr>
              <w:spacing w:before="156" w:after="156" w:line="400" w:lineRule="exact"/>
              <w:rPr>
                <w:rFonts w:ascii="宋体" w:hAnsi="宋体"/>
              </w:rPr>
            </w:pPr>
            <w:r>
              <w:rPr>
                <w:rFonts w:hint="eastAsia" w:ascii="宋体" w:hAnsi="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trPr>
        <w:tc>
          <w:tcPr>
            <w:tcW w:w="672" w:type="dxa"/>
            <w:vAlign w:val="top"/>
          </w:tcPr>
          <w:p>
            <w:pPr>
              <w:spacing w:before="156" w:after="156" w:line="400" w:lineRule="exact"/>
              <w:rPr>
                <w:rFonts w:ascii="宋体" w:hAnsi="宋体"/>
                <w:b/>
              </w:rPr>
            </w:pPr>
            <w:r>
              <w:rPr>
                <w:rFonts w:hint="eastAsia" w:ascii="宋体" w:hAnsi="宋体"/>
                <w:b/>
              </w:rPr>
              <w:t> </w:t>
            </w:r>
          </w:p>
        </w:tc>
        <w:tc>
          <w:tcPr>
            <w:tcW w:w="1260" w:type="dxa"/>
            <w:vAlign w:val="top"/>
          </w:tcPr>
          <w:p>
            <w:pPr>
              <w:spacing w:before="156" w:after="156" w:line="400" w:lineRule="exact"/>
              <w:rPr>
                <w:rFonts w:ascii="宋体" w:hAnsi="宋体"/>
                <w:b/>
              </w:rPr>
            </w:pPr>
          </w:p>
        </w:tc>
        <w:tc>
          <w:tcPr>
            <w:tcW w:w="2628" w:type="dxa"/>
            <w:vAlign w:val="top"/>
          </w:tcPr>
          <w:p>
            <w:pPr>
              <w:spacing w:before="156" w:after="156" w:line="400" w:lineRule="exact"/>
              <w:rPr>
                <w:rFonts w:ascii="宋体" w:hAnsi="宋体"/>
                <w:b/>
              </w:rPr>
            </w:pPr>
            <w:r>
              <w:rPr>
                <w:rFonts w:hint="eastAsia" w:ascii="宋体" w:hAnsi="宋体"/>
                <w:b/>
              </w:rPr>
              <w:t> </w:t>
            </w:r>
          </w:p>
        </w:tc>
        <w:tc>
          <w:tcPr>
            <w:tcW w:w="3074" w:type="dxa"/>
            <w:vAlign w:val="top"/>
          </w:tcPr>
          <w:p>
            <w:pPr>
              <w:spacing w:before="156" w:after="156" w:line="400" w:lineRule="exact"/>
              <w:rPr>
                <w:rFonts w:ascii="宋体" w:hAnsi="宋体"/>
              </w:rPr>
            </w:pPr>
            <w:r>
              <w:rPr>
                <w:rFonts w:hint="eastAsia" w:ascii="宋体" w:hAnsi="宋体"/>
              </w:rPr>
              <w:t> </w:t>
            </w:r>
          </w:p>
        </w:tc>
        <w:tc>
          <w:tcPr>
            <w:tcW w:w="2037" w:type="dxa"/>
            <w:vAlign w:val="center"/>
          </w:tcPr>
          <w:p>
            <w:pPr>
              <w:spacing w:before="156" w:after="156" w:line="400" w:lineRule="exact"/>
              <w:rPr>
                <w:rFonts w:ascii="宋体" w:hAnsi="宋体"/>
              </w:rPr>
            </w:pPr>
            <w:r>
              <w:rPr>
                <w:rFonts w:hint="eastAsia" w:ascii="宋体" w:hAnsi="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trPr>
        <w:tc>
          <w:tcPr>
            <w:tcW w:w="672" w:type="dxa"/>
            <w:vAlign w:val="top"/>
          </w:tcPr>
          <w:p>
            <w:pPr>
              <w:spacing w:before="156" w:after="156" w:line="400" w:lineRule="exact"/>
              <w:rPr>
                <w:rFonts w:ascii="宋体" w:hAnsi="宋体"/>
              </w:rPr>
            </w:pPr>
            <w:r>
              <w:rPr>
                <w:rFonts w:hint="eastAsia" w:ascii="宋体" w:hAnsi="宋体"/>
              </w:rPr>
              <w:t> </w:t>
            </w:r>
          </w:p>
        </w:tc>
        <w:tc>
          <w:tcPr>
            <w:tcW w:w="1260" w:type="dxa"/>
            <w:vAlign w:val="top"/>
          </w:tcPr>
          <w:p>
            <w:pPr>
              <w:spacing w:before="156" w:after="156" w:line="400" w:lineRule="exact"/>
              <w:rPr>
                <w:rFonts w:ascii="宋体" w:hAnsi="宋体"/>
              </w:rPr>
            </w:pPr>
          </w:p>
        </w:tc>
        <w:tc>
          <w:tcPr>
            <w:tcW w:w="2628" w:type="dxa"/>
            <w:vAlign w:val="top"/>
          </w:tcPr>
          <w:p>
            <w:pPr>
              <w:spacing w:before="156" w:after="156" w:line="400" w:lineRule="exact"/>
              <w:rPr>
                <w:rFonts w:ascii="宋体" w:hAnsi="宋体"/>
              </w:rPr>
            </w:pPr>
            <w:r>
              <w:rPr>
                <w:rFonts w:hint="eastAsia" w:ascii="宋体" w:hAnsi="宋体"/>
              </w:rPr>
              <w:t> </w:t>
            </w:r>
          </w:p>
        </w:tc>
        <w:tc>
          <w:tcPr>
            <w:tcW w:w="3074" w:type="dxa"/>
            <w:vAlign w:val="top"/>
          </w:tcPr>
          <w:p>
            <w:pPr>
              <w:spacing w:before="156" w:after="156" w:line="400" w:lineRule="exact"/>
              <w:rPr>
                <w:rFonts w:ascii="宋体" w:hAnsi="宋体"/>
              </w:rPr>
            </w:pPr>
            <w:r>
              <w:rPr>
                <w:rFonts w:hint="eastAsia" w:ascii="宋体" w:hAnsi="宋体"/>
              </w:rPr>
              <w:t> </w:t>
            </w:r>
            <w:r>
              <w:rPr>
                <w:rFonts w:hint="eastAsia"/>
              </w:rPr>
              <w:t>（此表可延长）</w:t>
            </w:r>
          </w:p>
        </w:tc>
        <w:tc>
          <w:tcPr>
            <w:tcW w:w="2037" w:type="dxa"/>
            <w:vAlign w:val="center"/>
          </w:tcPr>
          <w:p>
            <w:pPr>
              <w:spacing w:before="156" w:after="156" w:line="400" w:lineRule="exact"/>
              <w:rPr>
                <w:rFonts w:ascii="宋体" w:hAnsi="宋体"/>
              </w:rPr>
            </w:pPr>
            <w:r>
              <w:rPr>
                <w:rFonts w:hint="eastAsia" w:ascii="宋体" w:hAnsi="宋体"/>
              </w:rPr>
              <w:t> </w:t>
            </w:r>
          </w:p>
        </w:tc>
      </w:tr>
    </w:tbl>
    <w:p>
      <w:pPr>
        <w:spacing w:line="360" w:lineRule="auto"/>
        <w:ind w:firstLine="210" w:firstLineChars="100"/>
        <w:rPr>
          <w:rFonts w:hint="eastAsia" w:ascii="宋体" w:hAnsi="宋体" w:cs="宋体"/>
          <w:szCs w:val="21"/>
        </w:rPr>
      </w:pPr>
      <w:r>
        <w:rPr>
          <w:rFonts w:hint="eastAsia" w:ascii="宋体" w:hAnsi="宋体" w:cs="宋体"/>
          <w:szCs w:val="21"/>
        </w:rPr>
        <w:pict>
          <v:shape id="Text Box 6" o:spid="_x0000_s1032" o:spt="202" type="#_x0000_t202" style="position:absolute;left:0pt;margin-left:-20.95pt;margin-top:18.05pt;height:21.45pt;width:20.95pt;z-index:251662336;mso-width-relative:page;mso-height-relative:page;" filled="f" stroked="f" coordsize="21600,21600" o:allowoverlap="f">
            <v:path/>
            <v:fill on="f" focussize="0,0"/>
            <v:stroke on="f"/>
            <v:imagedata o:title=""/>
            <o:lock v:ext="edit" grouping="f" rotation="f" text="f" aspectratio="f"/>
            <v:textbox>
              <w:txbxContent>
                <w:p>
                  <w:pPr>
                    <w:rPr>
                      <w:rFonts w:hint="eastAsia"/>
                    </w:rPr>
                  </w:pPr>
                </w:p>
              </w:txbxContent>
            </v:textbox>
          </v:shape>
        </w:pict>
      </w:r>
    </w:p>
    <w:p>
      <w:pPr>
        <w:spacing w:line="360" w:lineRule="auto"/>
        <w:rPr>
          <w:rFonts w:hint="eastAsia" w:ascii="宋体" w:hAnsi="宋体" w:cs="宋体"/>
          <w:szCs w:val="21"/>
        </w:rPr>
      </w:pPr>
      <w:r>
        <w:rPr>
          <w:rFonts w:hint="eastAsia" w:ascii="宋体" w:hAnsi="宋体" w:cs="宋体"/>
          <w:szCs w:val="21"/>
        </w:rPr>
        <w:t>注：</w:t>
      </w:r>
    </w:p>
    <w:p>
      <w:pPr>
        <w:numPr>
          <w:ilvl w:val="0"/>
          <w:numId w:val="40"/>
        </w:numPr>
        <w:spacing w:line="360" w:lineRule="auto"/>
        <w:rPr>
          <w:rFonts w:hint="eastAsia" w:ascii="宋体" w:hAnsi="宋体"/>
          <w:szCs w:val="21"/>
        </w:rPr>
      </w:pPr>
      <w:r>
        <w:rPr>
          <w:rFonts w:hint="eastAsia" w:ascii="宋体" w:hAnsi="宋体"/>
          <w:szCs w:val="21"/>
        </w:rPr>
        <w:t>投标人务必按照采购清单（或招标文件上对所采购货物技术要求）和投标产品的技术参数响应逐一填写此表内容。包括正偏离/负偏离招标文件的要求；</w:t>
      </w:r>
    </w:p>
    <w:p>
      <w:pPr>
        <w:numPr>
          <w:ilvl w:val="0"/>
          <w:numId w:val="40"/>
        </w:numPr>
        <w:spacing w:line="360" w:lineRule="auto"/>
        <w:rPr>
          <w:rFonts w:hint="eastAsia" w:ascii="宋体" w:hAnsi="宋体"/>
          <w:szCs w:val="21"/>
        </w:rPr>
      </w:pPr>
      <w:r>
        <w:rPr>
          <w:rFonts w:hint="eastAsia" w:ascii="宋体" w:hAnsi="宋体"/>
          <w:szCs w:val="21"/>
        </w:rPr>
        <w:t>如投标人不填写或填写不完全，或所投产品与招标文件要求存在差异而没有在上表列明的，评标委员会有权认定该投标为无效投标。</w:t>
      </w:r>
    </w:p>
    <w:p>
      <w:pPr>
        <w:numPr>
          <w:ilvl w:val="0"/>
          <w:numId w:val="40"/>
        </w:numPr>
        <w:spacing w:line="360" w:lineRule="auto"/>
        <w:rPr>
          <w:rFonts w:hint="eastAsia" w:ascii="宋体" w:hAnsi="宋体"/>
          <w:szCs w:val="21"/>
        </w:rPr>
      </w:pPr>
      <w:r>
        <w:rPr>
          <w:rFonts w:hint="eastAsia" w:ascii="宋体" w:hAnsi="宋体"/>
          <w:szCs w:val="21"/>
        </w:rPr>
        <w:t>投标人报价的内容与招标文件的技术有差异时，无论这种差异是否有利于采购人，投标人都应按上述格式如实详细填写。</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360" w:lineRule="auto"/>
        <w:jc w:val="left"/>
        <w:rPr>
          <w:rFonts w:hint="eastAsia" w:ascii="宋体" w:hAnsi="宋体" w:cs="宋体"/>
          <w:b/>
          <w:sz w:val="30"/>
          <w:szCs w:val="30"/>
        </w:rPr>
      </w:pP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表5-</w:t>
      </w:r>
      <w:r>
        <w:rPr>
          <w:rFonts w:hint="eastAsia" w:ascii="宋体" w:hAnsi="宋体" w:cs="宋体"/>
          <w:sz w:val="28"/>
          <w:szCs w:val="28"/>
          <w:lang w:val="en-US" w:eastAsia="zh-CN"/>
        </w:rPr>
        <w:t xml:space="preserve">15 </w:t>
      </w:r>
      <w:r>
        <w:rPr>
          <w:rFonts w:hint="eastAsia" w:ascii="宋体" w:hAnsi="宋体" w:cs="宋体"/>
          <w:sz w:val="28"/>
          <w:szCs w:val="28"/>
        </w:rPr>
        <w:t xml:space="preserve"> </w:t>
      </w:r>
      <w:r>
        <w:rPr>
          <w:rFonts w:hint="eastAsia" w:ascii="宋体" w:hAnsi="宋体" w:cs="宋体"/>
          <w:sz w:val="28"/>
          <w:szCs w:val="28"/>
          <w:lang w:eastAsia="zh-CN"/>
        </w:rPr>
        <w:t>技术</w:t>
      </w:r>
      <w:r>
        <w:rPr>
          <w:rFonts w:hint="eastAsia" w:ascii="宋体" w:hAnsi="宋体" w:cs="宋体"/>
          <w:sz w:val="28"/>
          <w:szCs w:val="28"/>
        </w:rPr>
        <w:t>方案</w:t>
      </w:r>
    </w:p>
    <w:p>
      <w:pPr>
        <w:snapToGrid w:val="0"/>
        <w:spacing w:line="360" w:lineRule="auto"/>
        <w:rPr>
          <w:rFonts w:hint="eastAsia" w:ascii="宋体" w:hAnsi="宋体" w:cs="宋体"/>
        </w:rPr>
      </w:pPr>
    </w:p>
    <w:p>
      <w:pPr>
        <w:pStyle w:val="7"/>
        <w:spacing w:line="360" w:lineRule="auto"/>
        <w:ind w:left="0" w:leftChars="0" w:firstLine="420" w:firstLineChars="200"/>
        <w:rPr>
          <w:rFonts w:hint="eastAsia" w:ascii="宋体" w:hAnsi="宋体" w:eastAsia="宋体" w:cs="Arial"/>
          <w:lang w:val="en-US" w:eastAsia="zh-CN"/>
        </w:rPr>
      </w:pPr>
      <w:r>
        <w:rPr>
          <w:rFonts w:hint="eastAsia" w:ascii="宋体" w:hAnsi="宋体" w:cs="Arial"/>
          <w:lang w:val="en-US" w:eastAsia="zh-CN"/>
        </w:rPr>
        <w:t>技术方案（针对本项目有提供具体可行、详细的服务方案，完全满足项目的要求（设备安装调试、送样试生产、供货等）</w:t>
      </w:r>
    </w:p>
    <w:p>
      <w:pPr>
        <w:pStyle w:val="7"/>
        <w:spacing w:line="360" w:lineRule="auto"/>
        <w:rPr>
          <w:rFonts w:hint="eastAsia" w:ascii="宋体" w:hAnsi="宋体" w:cs="Arial"/>
        </w:rPr>
      </w:pPr>
      <w:r>
        <w:rPr>
          <w:rFonts w:hint="eastAsia" w:ascii="宋体" w:hAnsi="宋体" w:cs="Arial"/>
        </w:rPr>
        <w:t>主要内容应包括但不限于：</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产品配套设备；</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产品可靠性；</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药剂消耗量；</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使用成本；</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活性氧含量；</w:t>
      </w:r>
    </w:p>
    <w:p>
      <w:pPr>
        <w:pStyle w:val="7"/>
        <w:spacing w:line="360" w:lineRule="auto"/>
        <w:ind w:left="0" w:leftChars="0" w:firstLine="420" w:firstLineChars="200"/>
        <w:rPr>
          <w:rFonts w:hint="eastAsia" w:ascii="宋体" w:hAnsi="宋体" w:cs="Arial"/>
        </w:rPr>
      </w:pPr>
      <w:r>
        <w:rPr>
          <w:rFonts w:hint="eastAsia" w:ascii="宋体" w:hAnsi="宋体"/>
          <w:bCs/>
        </w:rPr>
        <w:t>计划应明确</w:t>
      </w:r>
      <w:r>
        <w:rPr>
          <w:rFonts w:hint="eastAsia" w:ascii="宋体" w:hAnsi="宋体"/>
          <w:bCs/>
          <w:lang w:eastAsia="zh-CN"/>
        </w:rPr>
        <w:t>生产</w:t>
      </w:r>
      <w:r>
        <w:rPr>
          <w:rFonts w:hint="eastAsia" w:ascii="宋体" w:hAnsi="宋体"/>
          <w:bCs/>
        </w:rPr>
        <w:t>商、投标商的售后服务内容，包括</w:t>
      </w:r>
      <w:r>
        <w:rPr>
          <w:rFonts w:hint="eastAsia" w:ascii="宋体" w:hAnsi="宋体"/>
          <w:bCs/>
          <w:szCs w:val="21"/>
        </w:rPr>
        <w:t>售后服务人员配备、应急维修时间安排、</w:t>
      </w:r>
      <w:r>
        <w:rPr>
          <w:rFonts w:hint="eastAsia" w:ascii="宋体" w:hAnsi="宋体"/>
          <w:bCs/>
          <w:szCs w:val="21"/>
          <w:lang w:eastAsia="zh-CN"/>
        </w:rPr>
        <w:t>涉及有</w:t>
      </w:r>
      <w:r>
        <w:rPr>
          <w:rFonts w:hint="eastAsia" w:ascii="宋体" w:hAnsi="宋体"/>
          <w:bCs/>
          <w:szCs w:val="21"/>
        </w:rPr>
        <w:t>收费</w:t>
      </w:r>
      <w:r>
        <w:rPr>
          <w:rFonts w:hint="eastAsia" w:ascii="宋体" w:hAnsi="宋体"/>
          <w:bCs/>
          <w:szCs w:val="21"/>
          <w:lang w:eastAsia="zh-CN"/>
        </w:rPr>
        <w:t>的</w:t>
      </w:r>
      <w:r>
        <w:rPr>
          <w:rFonts w:hint="eastAsia" w:ascii="宋体" w:hAnsi="宋体"/>
          <w:bCs/>
          <w:szCs w:val="21"/>
        </w:rPr>
        <w:t>标准、其它服务承诺。</w:t>
      </w:r>
      <w:r>
        <w:rPr>
          <w:rFonts w:hint="eastAsia" w:ascii="宋体" w:hAnsi="宋体"/>
          <w:bCs/>
        </w:rPr>
        <w:t>可用附页形式说明。</w:t>
      </w:r>
    </w:p>
    <w:p>
      <w:pPr>
        <w:pStyle w:val="7"/>
        <w:rPr>
          <w:rFonts w:hint="eastAsia" w:ascii="宋体" w:hAnsi="宋体" w:cs="宋体"/>
          <w:szCs w:val="21"/>
          <w:u w:val="single"/>
        </w:rPr>
      </w:pPr>
    </w:p>
    <w:p>
      <w:pPr>
        <w:pStyle w:val="7"/>
        <w:rPr>
          <w:rFonts w:hint="eastAsia" w:ascii="宋体" w:hAnsi="宋体" w:cs="宋体"/>
          <w:szCs w:val="21"/>
          <w:u w:val="single"/>
        </w:rPr>
      </w:pPr>
    </w:p>
    <w:p>
      <w:pPr>
        <w:autoSpaceDE w:val="0"/>
        <w:autoSpaceDN w:val="0"/>
        <w:adjustRightInd w:val="0"/>
        <w:spacing w:line="360" w:lineRule="auto"/>
        <w:ind w:right="216"/>
        <w:rPr>
          <w:rFonts w:hint="eastAsia" w:ascii="宋体" w:hAnsi="宋体" w:cs="宋体"/>
          <w:b/>
        </w:rPr>
      </w:pPr>
    </w:p>
    <w:p>
      <w:pPr>
        <w:autoSpaceDE w:val="0"/>
        <w:autoSpaceDN w:val="0"/>
        <w:adjustRightInd w:val="0"/>
        <w:spacing w:line="360" w:lineRule="auto"/>
        <w:ind w:right="216"/>
        <w:rPr>
          <w:rFonts w:hint="eastAsia" w:ascii="宋体" w:hAnsi="宋体" w:cs="宋体"/>
        </w:rPr>
      </w:pPr>
    </w:p>
    <w:p>
      <w:pPr>
        <w:autoSpaceDE w:val="0"/>
        <w:autoSpaceDN w:val="0"/>
        <w:adjustRightInd w:val="0"/>
        <w:spacing w:line="360" w:lineRule="auto"/>
        <w:ind w:right="216"/>
        <w:rPr>
          <w:rFonts w:hint="eastAsia" w:ascii="宋体" w:hAnsi="宋体" w:cs="宋体"/>
        </w:rPr>
      </w:pPr>
    </w:p>
    <w:p>
      <w:pPr>
        <w:autoSpaceDE w:val="0"/>
        <w:autoSpaceDN w:val="0"/>
        <w:adjustRightInd w:val="0"/>
        <w:spacing w:line="360" w:lineRule="auto"/>
        <w:ind w:right="216"/>
        <w:rPr>
          <w:rFonts w:hint="eastAsia" w:ascii="宋体" w:hAnsi="宋体" w:cs="宋体"/>
        </w:rPr>
      </w:pPr>
    </w:p>
    <w:p>
      <w:pPr>
        <w:spacing w:line="400" w:lineRule="exact"/>
        <w:ind w:firstLine="4725" w:firstLineChars="2250"/>
        <w:rPr>
          <w:rFonts w:hint="eastAsia" w:ascii="宋体" w:hAnsi="宋体" w:cs="宋体"/>
          <w:szCs w:val="21"/>
        </w:rPr>
      </w:pPr>
      <w:bookmarkStart w:id="92" w:name="_Toc421205775"/>
      <w:bookmarkStart w:id="93" w:name="_Toc421004212"/>
      <w:bookmarkStart w:id="94" w:name="_Toc420684778"/>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spacing w:line="360" w:lineRule="auto"/>
        <w:ind w:firstLine="482" w:firstLineChars="200"/>
        <w:rPr>
          <w:rFonts w:hint="eastAsia" w:ascii="宋体" w:hAnsi="宋体" w:cs="宋体"/>
          <w:b/>
          <w:sz w:val="24"/>
          <w:szCs w:val="24"/>
        </w:rPr>
      </w:pPr>
      <w:r>
        <w:rPr>
          <w:rFonts w:hint="eastAsia" w:ascii="宋体" w:hAnsi="宋体" w:cs="宋体"/>
          <w:b/>
          <w:sz w:val="24"/>
          <w:szCs w:val="24"/>
        </w:rPr>
        <w:t>为方便开标唱标，投标人提交投标文件时还须单独提交一个密封信封，并在信封上标明</w:t>
      </w:r>
      <w:r>
        <w:rPr>
          <w:rFonts w:ascii="宋体" w:hAnsi="宋体" w:cs="宋体"/>
          <w:b/>
          <w:sz w:val="24"/>
          <w:szCs w:val="24"/>
        </w:rPr>
        <w:t xml:space="preserve"> </w:t>
      </w:r>
      <w:r>
        <w:rPr>
          <w:rFonts w:hint="eastAsia" w:ascii="宋体" w:hAnsi="宋体" w:cs="宋体"/>
          <w:b/>
          <w:sz w:val="24"/>
          <w:szCs w:val="24"/>
        </w:rPr>
        <w:t>“唱标信封”的字样，并将下列内容单独密封入该信封。</w:t>
      </w:r>
    </w:p>
    <w:p>
      <w:pPr>
        <w:pStyle w:val="2"/>
        <w:spacing w:line="360" w:lineRule="auto"/>
        <w:ind w:firstLine="482" w:firstLineChars="200"/>
        <w:rPr>
          <w:rFonts w:hint="eastAsia" w:ascii="宋体" w:hAnsi="宋体" w:cs="宋体"/>
          <w:b/>
          <w:sz w:val="24"/>
          <w:szCs w:val="24"/>
        </w:rPr>
      </w:pPr>
      <w:r>
        <w:rPr>
          <w:rFonts w:hint="eastAsia" w:ascii="宋体" w:hAnsi="宋体" w:cs="宋体"/>
          <w:b/>
          <w:sz w:val="24"/>
          <w:szCs w:val="24"/>
        </w:rPr>
        <w:t>1、投标函（从投标文件正本中复印）；</w:t>
      </w:r>
    </w:p>
    <w:p>
      <w:pPr>
        <w:pStyle w:val="2"/>
        <w:spacing w:line="360" w:lineRule="auto"/>
        <w:ind w:firstLine="482" w:firstLineChars="200"/>
        <w:rPr>
          <w:rFonts w:hint="eastAsia" w:ascii="宋体" w:hAnsi="宋体" w:cs="宋体"/>
          <w:b/>
          <w:sz w:val="24"/>
          <w:szCs w:val="24"/>
        </w:rPr>
      </w:pPr>
      <w:r>
        <w:rPr>
          <w:rFonts w:hint="eastAsia" w:ascii="宋体" w:hAnsi="宋体" w:cs="宋体"/>
          <w:b/>
          <w:sz w:val="24"/>
          <w:szCs w:val="24"/>
        </w:rPr>
        <w:t>2、开标一览表（从投标文件正本中复印）；</w:t>
      </w:r>
    </w:p>
    <w:p>
      <w:pPr>
        <w:pStyle w:val="2"/>
        <w:spacing w:line="360" w:lineRule="auto"/>
        <w:ind w:firstLine="482" w:firstLineChars="200"/>
        <w:rPr>
          <w:rFonts w:hint="eastAsia" w:ascii="宋体" w:hAnsi="宋体" w:cs="宋体"/>
          <w:b/>
          <w:sz w:val="24"/>
          <w:szCs w:val="24"/>
          <w:lang w:eastAsia="zh-CN"/>
        </w:rPr>
      </w:pPr>
      <w:r>
        <w:rPr>
          <w:rFonts w:hint="eastAsia" w:ascii="宋体" w:hAnsi="宋体" w:cs="宋体"/>
          <w:b/>
          <w:sz w:val="24"/>
          <w:szCs w:val="24"/>
        </w:rPr>
        <w:t>3、法定代表人证明书/法定代表人授权书</w:t>
      </w:r>
      <w:r>
        <w:rPr>
          <w:rFonts w:hint="eastAsia" w:ascii="宋体" w:hAnsi="宋体" w:cs="宋体"/>
          <w:b/>
          <w:sz w:val="24"/>
          <w:szCs w:val="24"/>
          <w:lang w:eastAsia="zh-CN"/>
        </w:rPr>
        <w:t>（</w:t>
      </w:r>
      <w:r>
        <w:rPr>
          <w:rFonts w:hint="eastAsia" w:ascii="宋体" w:hAnsi="宋体" w:cs="宋体"/>
          <w:b/>
          <w:sz w:val="24"/>
          <w:szCs w:val="24"/>
        </w:rPr>
        <w:t>（从投标文件正本中复印）</w:t>
      </w:r>
    </w:p>
    <w:p>
      <w:pPr>
        <w:pStyle w:val="2"/>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4、</w:t>
      </w:r>
      <w:r>
        <w:rPr>
          <w:rFonts w:hint="eastAsia" w:ascii="宋体" w:hAnsi="宋体" w:cs="宋体"/>
          <w:b/>
          <w:sz w:val="24"/>
          <w:szCs w:val="24"/>
        </w:rPr>
        <w:t>投标保证金交付凭证复印件；</w:t>
      </w:r>
    </w:p>
    <w:p>
      <w:pPr>
        <w:pStyle w:val="2"/>
        <w:spacing w:line="360" w:lineRule="auto"/>
        <w:rPr>
          <w:rFonts w:hint="eastAsia" w:ascii="宋体" w:hAnsi="宋体" w:cs="宋体"/>
          <w:b/>
          <w:sz w:val="24"/>
          <w:szCs w:val="24"/>
        </w:rPr>
      </w:pPr>
      <w:r>
        <w:rPr>
          <w:rFonts w:hint="eastAsia" w:ascii="宋体" w:hAnsi="宋体" w:cs="宋体"/>
          <w:b/>
          <w:sz w:val="24"/>
          <w:szCs w:val="24"/>
        </w:rPr>
        <w:t>（上述文件须加盖投标人公章和法定代表人或授权委托人签名或盖章。）</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bookmarkEnd w:id="92"/>
    <w:bookmarkEnd w:id="93"/>
    <w:bookmarkEnd w:id="94"/>
    <w:p>
      <w:pPr>
        <w:spacing w:line="360" w:lineRule="auto"/>
        <w:rPr>
          <w:rFonts w:hint="eastAsia" w:ascii="宋体" w:hAnsi="宋体" w:cs="宋体"/>
        </w:rPr>
      </w:pPr>
    </w:p>
    <w:p>
      <w:pPr>
        <w:rPr>
          <w:b/>
          <w:szCs w:val="21"/>
        </w:rPr>
      </w:pPr>
    </w:p>
    <w:sectPr>
      <w:pgSz w:w="11907" w:h="16840"/>
      <w:pgMar w:top="1417" w:right="1417" w:bottom="1417" w:left="1417" w:header="794" w:footer="794" w:gutter="0"/>
      <w:cols w:space="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Times">
    <w:altName w:val="Times New Roman"/>
    <w:panose1 w:val="02020603050405020304"/>
    <w:charset w:val="00"/>
    <w:family w:val="auto"/>
    <w:pitch w:val="default"/>
    <w:sig w:usb0="00000000" w:usb1="00000000" w:usb2="00000009"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3326"/>
        <w:tab w:val="center" w:pos="4670"/>
      </w:tabs>
      <w:ind w:right="360"/>
      <w:jc w:val="center"/>
      <w:rPr>
        <w:rFonts w:ascii="宋体"/>
      </w:rPr>
    </w:pPr>
    <w:r>
      <w:rPr>
        <w:rFonts w:ascii="Times New Roman" w:hAnsi="Times New Roman" w:eastAsia="宋体" w:cs="Times New Roman"/>
        <w:sz w:val="18"/>
        <w:lang w:val="en-US" w:eastAsia="zh-CN" w:bidi="ar-SA"/>
      </w:rPr>
      <w:pict>
        <v:rect id="文本框 4" o:spid="_x0000_s2050" o:spt="1" style="position:absolute;left:0pt;margin-top:-1.25pt;height:11.65pt;width:69.5pt;mso-position-horizontal:center;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65</w:t>
                </w:r>
                <w:r>
                  <w:rPr>
                    <w:sz w:val="18"/>
                  </w:rPr>
                  <w:fldChar w:fldCharType="end"/>
                </w:r>
                <w:r>
                  <w:rPr>
                    <w:rFonts w:hint="eastAsia"/>
                    <w:sz w:val="18"/>
                  </w:rP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ascii="Times New Roman" w:hAnsi="Times New Roman" w:eastAsia="宋体" w:cs="Times New Roman"/>
        <w:sz w:val="18"/>
        <w:lang w:val="en-US" w:eastAsia="zh-CN" w:bidi="ar-SA"/>
      </w:rPr>
      <w:pict>
        <v:rect id="文本框 5" o:spid="_x0000_s2049" o:spt="1" style="position:absolute;left:0pt;margin-top:0pt;height:12.4pt;width:61.5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w:t>
                </w:r>
                <w:r>
                  <w:rPr>
                    <w:sz w:val="18"/>
                  </w:rPr>
                  <w:fldChar w:fldCharType="end"/>
                </w:r>
                <w:r>
                  <w:rPr>
                    <w:rFonts w:hint="eastAsia"/>
                    <w:sz w:val="18"/>
                  </w:rPr>
                  <w:t xml:space="preserve"> 页</w:t>
                </w:r>
              </w:p>
            </w:txbxContent>
          </v:textbox>
        </v:rect>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color w:val="000000"/>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06C4E"/>
    <w:multiLevelType w:val="singleLevel"/>
    <w:tmpl w:val="8B806C4E"/>
    <w:lvl w:ilvl="0" w:tentative="0">
      <w:start w:val="1"/>
      <w:numFmt w:val="decimal"/>
      <w:suff w:val="space"/>
      <w:lvlText w:val="(%1)"/>
      <w:lvlJc w:val="left"/>
    </w:lvl>
  </w:abstractNum>
  <w:abstractNum w:abstractNumId="1">
    <w:nsid w:val="94D7E19F"/>
    <w:multiLevelType w:val="singleLevel"/>
    <w:tmpl w:val="94D7E19F"/>
    <w:lvl w:ilvl="0" w:tentative="0">
      <w:start w:val="2"/>
      <w:numFmt w:val="chineseCounting"/>
      <w:suff w:val="nothing"/>
      <w:lvlText w:val="（%1）"/>
      <w:lvlJc w:val="left"/>
      <w:rPr>
        <w:rFonts w:hint="eastAsia"/>
      </w:rPr>
    </w:lvl>
  </w:abstractNum>
  <w:abstractNum w:abstractNumId="2">
    <w:nsid w:val="00000001"/>
    <w:multiLevelType w:val="multilevel"/>
    <w:tmpl w:val="00000001"/>
    <w:lvl w:ilvl="0" w:tentative="0">
      <w:start w:val="1"/>
      <w:numFmt w:val="japaneseCounting"/>
      <w:pStyle w:val="98"/>
      <w:lvlText w:val="%1、"/>
      <w:lvlJc w:val="left"/>
      <w:pPr>
        <w:tabs>
          <w:tab w:val="left" w:pos="1290"/>
        </w:tabs>
        <w:ind w:left="1290" w:hanging="85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5"/>
    <w:multiLevelType w:val="multilevel"/>
    <w:tmpl w:val="00000005"/>
    <w:lvl w:ilvl="0" w:tentative="0">
      <w:start w:val="1"/>
      <w:numFmt w:val="bullet"/>
      <w:lvlText w:val=""/>
      <w:lvlJc w:val="left"/>
      <w:pPr>
        <w:tabs>
          <w:tab w:val="left" w:pos="1260"/>
        </w:tabs>
        <w:ind w:left="1260" w:hanging="420"/>
      </w:pPr>
      <w:rPr>
        <w:rFonts w:hint="default" w:ascii="Wingdings" w:hAnsi="Wingdings"/>
        <w:color w:val="000000"/>
      </w:rPr>
    </w:lvl>
    <w:lvl w:ilvl="1" w:tentative="0">
      <w:start w:val="1"/>
      <w:numFmt w:val="decimal"/>
      <w:lvlText w:val="%2."/>
      <w:lvlJc w:val="left"/>
      <w:pPr>
        <w:tabs>
          <w:tab w:val="left" w:pos="1680"/>
        </w:tabs>
        <w:ind w:left="1680" w:hanging="420"/>
      </w:pPr>
      <w:rPr>
        <w:rFonts w:hint="default"/>
        <w:color w:val="000000"/>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4">
    <w:nsid w:val="00000006"/>
    <w:multiLevelType w:val="multilevel"/>
    <w:tmpl w:val="00000006"/>
    <w:lvl w:ilvl="0" w:tentative="0">
      <w:start w:val="1"/>
      <w:numFmt w:val="decimal"/>
      <w:lvlText w:val="%1、"/>
      <w:lvlJc w:val="left"/>
      <w:pPr>
        <w:tabs>
          <w:tab w:val="left" w:pos="1140"/>
        </w:tabs>
        <w:ind w:left="1140" w:hanging="420"/>
      </w:pPr>
      <w:rPr>
        <w:rFonts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7"/>
    <w:multiLevelType w:val="multilevel"/>
    <w:tmpl w:val="00000007"/>
    <w:lvl w:ilvl="0" w:tentative="0">
      <w:start w:val="1"/>
      <w:numFmt w:val="decimal"/>
      <w:lvlText w:val="%1、"/>
      <w:lvlJc w:val="left"/>
      <w:pPr>
        <w:tabs>
          <w:tab w:val="left" w:pos="1140"/>
        </w:tabs>
        <w:ind w:left="1140" w:hanging="420"/>
      </w:pPr>
      <w:rPr>
        <w:rFonts w:ascii="宋体" w:hAnsi="宋体" w:eastAsia="宋体" w:cs="Times New Roman"/>
      </w:rPr>
    </w:lvl>
    <w:lvl w:ilvl="1" w:tentative="0">
      <w:start w:val="1"/>
      <w:numFmt w:val="decimal"/>
      <w:lvlText w:val="（%2）"/>
      <w:lvlJc w:val="left"/>
      <w:pPr>
        <w:tabs>
          <w:tab w:val="left" w:pos="1860"/>
        </w:tabs>
        <w:ind w:left="1860" w:hanging="720"/>
      </w:pPr>
      <w:rPr>
        <w:rFonts w:hint="eastAsia"/>
      </w:rPr>
    </w:lvl>
    <w:lvl w:ilvl="2" w:tentative="0">
      <w:start w:val="1"/>
      <w:numFmt w:val="decimal"/>
      <w:lvlText w:val="%3）"/>
      <w:lvlJc w:val="left"/>
      <w:pPr>
        <w:tabs>
          <w:tab w:val="left" w:pos="1920"/>
        </w:tabs>
        <w:ind w:left="1920" w:hanging="360"/>
      </w:pPr>
      <w:rPr>
        <w:rFonts w:hint="default"/>
      </w:rPr>
    </w:lvl>
    <w:lvl w:ilvl="3" w:tentative="0">
      <w:start w:val="2"/>
      <w:numFmt w:val="decimal"/>
      <w:lvlText w:val="%4．"/>
      <w:lvlJc w:val="left"/>
      <w:pPr>
        <w:tabs>
          <w:tab w:val="left" w:pos="2340"/>
        </w:tabs>
        <w:ind w:left="2340" w:hanging="360"/>
      </w:pPr>
      <w:rPr>
        <w:rFonts w:hint="default"/>
      </w:r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6">
    <w:nsid w:val="0000000A"/>
    <w:multiLevelType w:val="multilevel"/>
    <w:tmpl w:val="0000000A"/>
    <w:lvl w:ilvl="0" w:tentative="0">
      <w:start w:val="1"/>
      <w:numFmt w:val="decimal"/>
      <w:lvlText w:val="%1）"/>
      <w:lvlJc w:val="left"/>
      <w:pPr>
        <w:tabs>
          <w:tab w:val="left" w:pos="1920"/>
        </w:tabs>
        <w:ind w:left="1920" w:hanging="360"/>
      </w:pPr>
      <w:rPr>
        <w:rFonts w:hint="default"/>
      </w:rPr>
    </w:lvl>
    <w:lvl w:ilvl="1" w:tentative="0">
      <w:start w:val="1"/>
      <w:numFmt w:val="japaneseCounting"/>
      <w:lvlText w:val="%2、"/>
      <w:lvlJc w:val="left"/>
      <w:pPr>
        <w:tabs>
          <w:tab w:val="left" w:pos="1140"/>
        </w:tabs>
        <w:ind w:left="1140" w:hanging="720"/>
      </w:pPr>
      <w:rPr>
        <w:rFonts w:hint="default" w:ascii="宋体" w:hAnsi="宋体" w:eastAsia="宋体"/>
        <w:sz w:val="21"/>
        <w:szCs w:val="28"/>
      </w:rPr>
    </w:lvl>
    <w:lvl w:ilvl="2" w:tentative="0">
      <w:start w:val="1"/>
      <w:numFmt w:val="decimal"/>
      <w:lvlText w:val="%3、"/>
      <w:lvlJc w:val="left"/>
      <w:pPr>
        <w:tabs>
          <w:tab w:val="left" w:pos="1260"/>
        </w:tabs>
        <w:ind w:left="1260" w:hanging="420"/>
      </w:pPr>
      <w:rPr>
        <w:rFonts w:hint="default"/>
        <w:color w:val="000000"/>
      </w:rPr>
    </w:lvl>
    <w:lvl w:ilvl="3" w:tentative="0">
      <w:start w:val="1"/>
      <w:numFmt w:val="decimal"/>
      <w:lvlText w:val="(%4)"/>
      <w:lvlJc w:val="left"/>
      <w:pPr>
        <w:tabs>
          <w:tab w:val="left" w:pos="1785"/>
        </w:tabs>
        <w:ind w:left="1785" w:hanging="525"/>
      </w:pPr>
      <w:rPr>
        <w:rFonts w:hint="default"/>
      </w:rPr>
    </w:lvl>
    <w:lvl w:ilvl="4" w:tentative="0">
      <w:start w:val="1"/>
      <w:numFmt w:val="japaneseCounting"/>
      <w:lvlText w:val="第%5章"/>
      <w:lvlJc w:val="left"/>
      <w:pPr>
        <w:tabs>
          <w:tab w:val="left" w:pos="2880"/>
        </w:tabs>
        <w:ind w:left="2880" w:hanging="1200"/>
      </w:pPr>
      <w:rPr>
        <w:rFonts w:hint="default"/>
      </w:rPr>
    </w:lvl>
    <w:lvl w:ilvl="5" w:tentative="0">
      <w:start w:val="1"/>
      <w:numFmt w:val="decimal"/>
      <w:lvlText w:val="%6、"/>
      <w:lvlJc w:val="left"/>
      <w:pPr>
        <w:tabs>
          <w:tab w:val="left" w:pos="0"/>
        </w:tabs>
        <w:ind w:left="2790" w:hanging="69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decimal"/>
      <w:lvlText w:val="%1、"/>
      <w:lvlJc w:val="left"/>
      <w:pPr>
        <w:tabs>
          <w:tab w:val="left" w:pos="1140"/>
        </w:tabs>
        <w:ind w:left="1140" w:hanging="420"/>
      </w:pPr>
      <w:rPr>
        <w:rFonts w:ascii="Times New Roman" w:hAnsi="Times New Roman" w:eastAsia="Times New Roman" w:cs="Times New Roman"/>
      </w:rPr>
    </w:lvl>
    <w:lvl w:ilvl="1" w:tentative="0">
      <w:start w:val="1"/>
      <w:numFmt w:val="lowerLetter"/>
      <w:lvlText w:val="%2)"/>
      <w:lvlJc w:val="left"/>
      <w:pPr>
        <w:tabs>
          <w:tab w:val="left" w:pos="1390"/>
        </w:tabs>
        <w:ind w:left="1390" w:hanging="420"/>
      </w:pPr>
    </w:lvl>
    <w:lvl w:ilvl="2" w:tentative="0">
      <w:start w:val="1"/>
      <w:numFmt w:val="lowerRoman"/>
      <w:lvlText w:val="%3."/>
      <w:lvlJc w:val="right"/>
      <w:pPr>
        <w:tabs>
          <w:tab w:val="left" w:pos="1810"/>
        </w:tabs>
        <w:ind w:left="1810" w:hanging="420"/>
      </w:pPr>
    </w:lvl>
    <w:lvl w:ilvl="3" w:tentative="0">
      <w:start w:val="1"/>
      <w:numFmt w:val="decimal"/>
      <w:lvlText w:val="%4."/>
      <w:lvlJc w:val="left"/>
      <w:pPr>
        <w:tabs>
          <w:tab w:val="left" w:pos="2230"/>
        </w:tabs>
        <w:ind w:left="2230" w:hanging="420"/>
      </w:pPr>
    </w:lvl>
    <w:lvl w:ilvl="4" w:tentative="0">
      <w:start w:val="1"/>
      <w:numFmt w:val="lowerLetter"/>
      <w:lvlText w:val="%5)"/>
      <w:lvlJc w:val="left"/>
      <w:pPr>
        <w:tabs>
          <w:tab w:val="left" w:pos="2650"/>
        </w:tabs>
        <w:ind w:left="2650" w:hanging="420"/>
      </w:pPr>
    </w:lvl>
    <w:lvl w:ilvl="5" w:tentative="0">
      <w:start w:val="1"/>
      <w:numFmt w:val="lowerRoman"/>
      <w:lvlText w:val="%6."/>
      <w:lvlJc w:val="right"/>
      <w:pPr>
        <w:tabs>
          <w:tab w:val="left" w:pos="3070"/>
        </w:tabs>
        <w:ind w:left="3070" w:hanging="420"/>
      </w:pPr>
    </w:lvl>
    <w:lvl w:ilvl="6" w:tentative="0">
      <w:start w:val="1"/>
      <w:numFmt w:val="decimal"/>
      <w:lvlText w:val="%7."/>
      <w:lvlJc w:val="left"/>
      <w:pPr>
        <w:tabs>
          <w:tab w:val="left" w:pos="3490"/>
        </w:tabs>
        <w:ind w:left="3490" w:hanging="420"/>
      </w:pPr>
    </w:lvl>
    <w:lvl w:ilvl="7" w:tentative="0">
      <w:start w:val="1"/>
      <w:numFmt w:val="lowerLetter"/>
      <w:lvlText w:val="%8)"/>
      <w:lvlJc w:val="left"/>
      <w:pPr>
        <w:tabs>
          <w:tab w:val="left" w:pos="3910"/>
        </w:tabs>
        <w:ind w:left="3910" w:hanging="420"/>
      </w:pPr>
    </w:lvl>
    <w:lvl w:ilvl="8" w:tentative="0">
      <w:start w:val="1"/>
      <w:numFmt w:val="lowerRoman"/>
      <w:lvlText w:val="%9."/>
      <w:lvlJc w:val="right"/>
      <w:pPr>
        <w:tabs>
          <w:tab w:val="left" w:pos="4330"/>
        </w:tabs>
        <w:ind w:left="4330" w:hanging="420"/>
      </w:pPr>
    </w:lvl>
  </w:abstractNum>
  <w:abstractNum w:abstractNumId="8">
    <w:nsid w:val="00000012"/>
    <w:multiLevelType w:val="multilevel"/>
    <w:tmpl w:val="00000012"/>
    <w:lvl w:ilvl="0" w:tentative="0">
      <w:start w:val="1"/>
      <w:numFmt w:val="decimal"/>
      <w:lvlText w:val="%1."/>
      <w:lvlJc w:val="left"/>
      <w:pPr>
        <w:tabs>
          <w:tab w:val="left" w:pos="420"/>
        </w:tabs>
        <w:ind w:left="420" w:hanging="420"/>
      </w:pPr>
      <w:rPr>
        <w:rFonts w:hint="default" w:ascii="Times New Roman" w:hAnsi="Times New Roman" w:cs="Times New Roman"/>
        <w:b w:val="0"/>
      </w:rPr>
    </w:lvl>
    <w:lvl w:ilvl="1" w:tentative="0">
      <w:start w:val="4"/>
      <w:numFmt w:val="decimal"/>
      <w:lvlText w:val="%2、"/>
      <w:lvlJc w:val="left"/>
      <w:pPr>
        <w:tabs>
          <w:tab w:val="left" w:pos="780"/>
        </w:tabs>
        <w:ind w:left="780" w:hanging="360"/>
      </w:pPr>
      <w:rPr>
        <w:rFonts w:hint="default" w:ascii="宋体" w:hAnsi="宋体" w:cs="Times New Roman"/>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4"/>
    <w:multiLevelType w:val="multilevel"/>
    <w:tmpl w:val="00000014"/>
    <w:lvl w:ilvl="0" w:tentative="0">
      <w:start w:val="1"/>
      <w:numFmt w:val="decimal"/>
      <w:lvlText w:val="%1．"/>
      <w:lvlJc w:val="left"/>
      <w:pPr>
        <w:tabs>
          <w:tab w:val="left" w:pos="720"/>
        </w:tabs>
        <w:ind w:left="720" w:hanging="720"/>
      </w:pPr>
      <w:rPr>
        <w:rFonts w:hint="eastAsia" w:ascii="宋体" w:hAnsi="宋体"/>
        <w:b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5"/>
    <w:multiLevelType w:val="multilevel"/>
    <w:tmpl w:val="00000015"/>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6"/>
    <w:multiLevelType w:val="multilevel"/>
    <w:tmpl w:val="00000016"/>
    <w:lvl w:ilvl="0" w:tentative="0">
      <w:start w:val="1"/>
      <w:numFmt w:val="decimal"/>
      <w:lvlText w:val="%1."/>
      <w:lvlJc w:val="left"/>
      <w:pPr>
        <w:tabs>
          <w:tab w:val="left" w:pos="590"/>
        </w:tabs>
        <w:ind w:left="59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B"/>
    <w:multiLevelType w:val="multilevel"/>
    <w:tmpl w:val="0000001B"/>
    <w:lvl w:ilvl="0" w:tentative="0">
      <w:start w:val="1"/>
      <w:numFmt w:val="decimal"/>
      <w:lvlText w:val="%1."/>
      <w:lvlJc w:val="left"/>
      <w:pPr>
        <w:tabs>
          <w:tab w:val="left" w:pos="590"/>
        </w:tabs>
        <w:ind w:left="590" w:hanging="420"/>
      </w:pPr>
      <w:rPr>
        <w:rFonts w:ascii="宋体" w:hAnsi="宋体" w:eastAsia="宋体"/>
      </w:rPr>
    </w:lvl>
    <w:lvl w:ilvl="1" w:tentative="0">
      <w:start w:val="1"/>
      <w:numFmt w:val="decimal"/>
      <w:lvlText w:val="%2、"/>
      <w:lvlJc w:val="left"/>
      <w:pPr>
        <w:tabs>
          <w:tab w:val="left" w:pos="1080"/>
        </w:tabs>
        <w:ind w:left="1080" w:hanging="360"/>
      </w:pPr>
      <w:rPr>
        <w:rFonts w:hint="eastAsia"/>
      </w:rPr>
    </w:lvl>
    <w:lvl w:ilvl="2" w:tentative="0">
      <w:start w:val="1"/>
      <w:numFmt w:val="lowerRoman"/>
      <w:lvlText w:val="%3."/>
      <w:lvlJc w:val="right"/>
      <w:pPr>
        <w:tabs>
          <w:tab w:val="left" w:pos="1430"/>
        </w:tabs>
        <w:ind w:left="1430" w:hanging="420"/>
      </w:pPr>
    </w:lvl>
    <w:lvl w:ilvl="3" w:tentative="0">
      <w:start w:val="1"/>
      <w:numFmt w:val="decimal"/>
      <w:lvlText w:val="%4."/>
      <w:lvlJc w:val="left"/>
      <w:pPr>
        <w:tabs>
          <w:tab w:val="left" w:pos="1850"/>
        </w:tabs>
        <w:ind w:left="1850" w:hanging="420"/>
      </w:pPr>
    </w:lvl>
    <w:lvl w:ilvl="4" w:tentative="0">
      <w:start w:val="1"/>
      <w:numFmt w:val="lowerLetter"/>
      <w:lvlText w:val="%5)"/>
      <w:lvlJc w:val="left"/>
      <w:pPr>
        <w:tabs>
          <w:tab w:val="left" w:pos="2270"/>
        </w:tabs>
        <w:ind w:left="2270" w:hanging="420"/>
      </w:pPr>
    </w:lvl>
    <w:lvl w:ilvl="5" w:tentative="0">
      <w:start w:val="1"/>
      <w:numFmt w:val="lowerRoman"/>
      <w:lvlText w:val="%6."/>
      <w:lvlJc w:val="right"/>
      <w:pPr>
        <w:tabs>
          <w:tab w:val="left" w:pos="2690"/>
        </w:tabs>
        <w:ind w:left="2690" w:hanging="420"/>
      </w:pPr>
    </w:lvl>
    <w:lvl w:ilvl="6" w:tentative="0">
      <w:start w:val="1"/>
      <w:numFmt w:val="decimal"/>
      <w:lvlText w:val="%7."/>
      <w:lvlJc w:val="left"/>
      <w:pPr>
        <w:tabs>
          <w:tab w:val="left" w:pos="3110"/>
        </w:tabs>
        <w:ind w:left="3110" w:hanging="420"/>
      </w:pPr>
    </w:lvl>
    <w:lvl w:ilvl="7" w:tentative="0">
      <w:start w:val="1"/>
      <w:numFmt w:val="lowerLetter"/>
      <w:lvlText w:val="%8)"/>
      <w:lvlJc w:val="left"/>
      <w:pPr>
        <w:tabs>
          <w:tab w:val="left" w:pos="3530"/>
        </w:tabs>
        <w:ind w:left="3530" w:hanging="420"/>
      </w:pPr>
    </w:lvl>
    <w:lvl w:ilvl="8" w:tentative="0">
      <w:start w:val="1"/>
      <w:numFmt w:val="lowerRoman"/>
      <w:lvlText w:val="%9."/>
      <w:lvlJc w:val="right"/>
      <w:pPr>
        <w:tabs>
          <w:tab w:val="left" w:pos="3950"/>
        </w:tabs>
        <w:ind w:left="3950" w:hanging="420"/>
      </w:pPr>
    </w:lvl>
  </w:abstractNum>
  <w:abstractNum w:abstractNumId="13">
    <w:nsid w:val="0000001D"/>
    <w:multiLevelType w:val="multilevel"/>
    <w:tmpl w:val="0000001D"/>
    <w:lvl w:ilvl="0" w:tentative="0">
      <w:start w:val="3"/>
      <w:numFmt w:val="decimal"/>
      <w:lvlText w:val="%1."/>
      <w:lvlJc w:val="left"/>
      <w:pPr>
        <w:tabs>
          <w:tab w:val="left" w:pos="630"/>
        </w:tabs>
        <w:ind w:left="630" w:hanging="63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21"/>
    <w:multiLevelType w:val="multilevel"/>
    <w:tmpl w:val="00000021"/>
    <w:lvl w:ilvl="0" w:tentative="0">
      <w:start w:val="1"/>
      <w:numFmt w:val="decimal"/>
      <w:lvlText w:val="%1．"/>
      <w:lvlJc w:val="left"/>
      <w:pPr>
        <w:tabs>
          <w:tab w:val="left" w:pos="360"/>
        </w:tabs>
        <w:ind w:left="360" w:hanging="360"/>
      </w:pPr>
      <w:rPr>
        <w:rFonts w:hint="eastAsia"/>
      </w:rPr>
    </w:lvl>
    <w:lvl w:ilvl="1" w:tentative="0">
      <w:start w:val="6"/>
      <w:numFmt w:val="decimal"/>
      <w:lvlText w:val="%2、"/>
      <w:lvlJc w:val="left"/>
      <w:pPr>
        <w:tabs>
          <w:tab w:val="left" w:pos="780"/>
        </w:tabs>
        <w:ind w:left="780" w:hanging="360"/>
      </w:pPr>
      <w:rPr>
        <w:rFonts w:hint="default" w:ascii="宋体" w:hAnsi="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7"/>
    <w:multiLevelType w:val="multilevel"/>
    <w:tmpl w:val="00000027"/>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B"/>
    <w:multiLevelType w:val="multilevel"/>
    <w:tmpl w:val="0000002B"/>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7">
    <w:nsid w:val="0000002F"/>
    <w:multiLevelType w:val="multilevel"/>
    <w:tmpl w:val="0000002F"/>
    <w:lvl w:ilvl="0" w:tentative="0">
      <w:start w:val="1"/>
      <w:numFmt w:val="japaneseCounting"/>
      <w:lvlText w:val="%1、"/>
      <w:lvlJc w:val="left"/>
      <w:pPr>
        <w:tabs>
          <w:tab w:val="left" w:pos="420"/>
        </w:tabs>
        <w:ind w:left="420" w:hanging="420"/>
      </w:pPr>
      <w:rPr>
        <w:rFonts w:hint="default"/>
        <w:b/>
      </w:rPr>
    </w:lvl>
    <w:lvl w:ilvl="1" w:tentative="0">
      <w:start w:val="1"/>
      <w:numFmt w:val="decimal"/>
      <w:lvlText w:val="%2、"/>
      <w:lvlJc w:val="left"/>
      <w:pPr>
        <w:tabs>
          <w:tab w:val="left" w:pos="2480"/>
        </w:tabs>
        <w:ind w:left="24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32"/>
    <w:multiLevelType w:val="multilevel"/>
    <w:tmpl w:val="00000032"/>
    <w:lvl w:ilvl="0" w:tentative="0">
      <w:start w:val="1"/>
      <w:numFmt w:val="chineseCountingThousand"/>
      <w:lvlText w:val="%1、"/>
      <w:lvlJc w:val="left"/>
      <w:pPr>
        <w:tabs>
          <w:tab w:val="left" w:pos="720"/>
        </w:tabs>
        <w:ind w:left="170" w:hanging="170"/>
      </w:pPr>
      <w:rPr>
        <w:rFonts w:hint="eastAsia"/>
        <w:b/>
      </w:rPr>
    </w:lvl>
    <w:lvl w:ilvl="1" w:tentative="0">
      <w:start w:val="1"/>
      <w:numFmt w:val="decimal"/>
      <w:lvlText w:val="%2．"/>
      <w:lvlJc w:val="left"/>
      <w:pPr>
        <w:tabs>
          <w:tab w:val="left" w:pos="374"/>
        </w:tabs>
        <w:ind w:left="374" w:hanging="374"/>
      </w:pPr>
      <w:rPr>
        <w:rFonts w:hint="default" w:ascii="Times New Roman" w:hAnsi="Times New Roman" w:eastAsia="宋体" w:cs="Times New Roman"/>
        <w:b w:val="0"/>
        <w:i w:val="0"/>
        <w:sz w:val="21"/>
      </w:rPr>
    </w:lvl>
    <w:lvl w:ilvl="2" w:tentative="0">
      <w:start w:val="1"/>
      <w:numFmt w:val="lowerLetter"/>
      <w:lvlText w:val="%3)"/>
      <w:lvlJc w:val="left"/>
      <w:pPr>
        <w:tabs>
          <w:tab w:val="left" w:pos="1200"/>
        </w:tabs>
        <w:ind w:left="1180" w:hanging="340"/>
      </w:pPr>
      <w:rPr>
        <w:rFonts w:hint="eastAsia" w:ascii="宋体" w:eastAsia="宋体"/>
        <w:b w:val="0"/>
        <w:i w:val="0"/>
        <w:sz w:val="21"/>
      </w:rPr>
    </w:lvl>
    <w:lvl w:ilvl="3" w:tentative="0">
      <w:start w:val="1"/>
      <w:numFmt w:val="decimal"/>
      <w:lvlText w:val="%4."/>
      <w:lvlJc w:val="left"/>
      <w:pPr>
        <w:tabs>
          <w:tab w:val="left" w:pos="1680"/>
        </w:tabs>
        <w:ind w:left="1680" w:hanging="420"/>
      </w:pPr>
      <w:rPr>
        <w:rFonts w:hint="eastAsia"/>
        <w:b w:val="0"/>
      </w:rPr>
    </w:lvl>
    <w:lvl w:ilvl="4" w:tentative="0">
      <w:start w:val="1"/>
      <w:numFmt w:val="decimal"/>
      <w:lvlText w:val="%5）"/>
      <w:lvlJc w:val="left"/>
      <w:pPr>
        <w:tabs>
          <w:tab w:val="left" w:pos="2040"/>
        </w:tabs>
        <w:ind w:left="2040" w:hanging="360"/>
      </w:pPr>
      <w:rPr>
        <w:rFonts w:hint="default"/>
        <w:b w:val="0"/>
        <w:sz w:val="21"/>
        <w:szCs w:val="21"/>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34"/>
    <w:multiLevelType w:val="multilevel"/>
    <w:tmpl w:val="00000034"/>
    <w:lvl w:ilvl="0" w:tentative="0">
      <w:start w:val="1"/>
      <w:numFmt w:val="decimal"/>
      <w:lvlText w:val="%1."/>
      <w:lvlJc w:val="left"/>
      <w:pPr>
        <w:tabs>
          <w:tab w:val="left" w:pos="420"/>
        </w:tabs>
        <w:ind w:left="420" w:hanging="420"/>
      </w:pPr>
    </w:lvl>
    <w:lvl w:ilvl="1" w:tentative="0">
      <w:start w:val="5"/>
      <w:numFmt w:val="decimal"/>
      <w:lvlText w:val="%2、"/>
      <w:lvlJc w:val="left"/>
      <w:pPr>
        <w:tabs>
          <w:tab w:val="left" w:pos="780"/>
        </w:tabs>
        <w:ind w:left="780" w:hanging="360"/>
      </w:pPr>
      <w:rPr>
        <w:rFonts w:hint="default" w:ascii="宋体" w:hAnsi="宋体" w:cs="Times New Roman"/>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35"/>
    <w:multiLevelType w:val="multilevel"/>
    <w:tmpl w:val="00000035"/>
    <w:lvl w:ilvl="0" w:tentative="0">
      <w:start w:val="1"/>
      <w:numFmt w:val="decimal"/>
      <w:lvlText w:val="%1."/>
      <w:lvlJc w:val="left"/>
      <w:pPr>
        <w:tabs>
          <w:tab w:val="left" w:pos="590"/>
        </w:tabs>
        <w:ind w:left="59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4A97026"/>
    <w:multiLevelType w:val="multilevel"/>
    <w:tmpl w:val="04A970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5BF2BB4"/>
    <w:multiLevelType w:val="multilevel"/>
    <w:tmpl w:val="05BF2BB4"/>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1860"/>
        </w:tabs>
        <w:ind w:left="1860" w:hanging="720"/>
      </w:pPr>
      <w:rPr>
        <w:rFonts w:hint="eastAsia"/>
      </w:rPr>
    </w:lvl>
    <w:lvl w:ilvl="2" w:tentative="0">
      <w:start w:val="1"/>
      <w:numFmt w:val="decimal"/>
      <w:lvlText w:val="%3)"/>
      <w:lvlJc w:val="left"/>
      <w:pPr>
        <w:tabs>
          <w:tab w:val="left" w:pos="2250"/>
        </w:tabs>
        <w:ind w:left="2250" w:hanging="690"/>
      </w:pPr>
      <w:rPr>
        <w:rFonts w:hint="default"/>
      </w:rPr>
    </w:lvl>
    <w:lvl w:ilvl="3" w:tentative="0">
      <w:start w:val="1"/>
      <w:numFmt w:val="lowerLetter"/>
      <w:lvlText w:val="%4)"/>
      <w:lvlJc w:val="left"/>
      <w:pPr>
        <w:tabs>
          <w:tab w:val="left" w:pos="2340"/>
        </w:tabs>
        <w:ind w:left="2340" w:hanging="360"/>
      </w:pPr>
      <w:rPr>
        <w:rFonts w:hint="default"/>
      </w:rPr>
    </w:lvl>
    <w:lvl w:ilvl="4" w:tentative="0">
      <w:start w:val="1"/>
      <w:numFmt w:val="decimal"/>
      <w:lvlText w:val="%5）"/>
      <w:lvlJc w:val="left"/>
      <w:pPr>
        <w:tabs>
          <w:tab w:val="left" w:pos="3135"/>
        </w:tabs>
        <w:ind w:left="3135" w:hanging="735"/>
      </w:pPr>
      <w:rPr>
        <w:rFonts w:hint="default"/>
      </w:rPr>
    </w:lvl>
    <w:lvl w:ilvl="5" w:tentative="0">
      <w:start w:val="1"/>
      <w:numFmt w:val="decimal"/>
      <w:lvlText w:val="%6."/>
      <w:lvlJc w:val="left"/>
      <w:pPr>
        <w:tabs>
          <w:tab w:val="left" w:pos="3180"/>
        </w:tabs>
        <w:ind w:left="3180" w:hanging="360"/>
      </w:pPr>
      <w:rPr>
        <w:rFonts w:hint="default"/>
      </w:rPr>
    </w:lvl>
    <w:lvl w:ilvl="6" w:tentative="0">
      <w:start w:val="1"/>
      <w:numFmt w:val="decimal"/>
      <w:lvlText w:val="%7、"/>
      <w:lvlJc w:val="left"/>
      <w:pPr>
        <w:tabs>
          <w:tab w:val="left" w:pos="3600"/>
        </w:tabs>
        <w:ind w:left="3600" w:hanging="360"/>
      </w:pPr>
      <w:rPr>
        <w:rFonts w:hint="default"/>
      </w:r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3">
    <w:nsid w:val="08445482"/>
    <w:multiLevelType w:val="multilevel"/>
    <w:tmpl w:val="0844548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japaneseCounting"/>
      <w:lvlText w:val="%6、"/>
      <w:lvlJc w:val="left"/>
      <w:pPr>
        <w:tabs>
          <w:tab w:val="left" w:pos="2580"/>
        </w:tabs>
        <w:ind w:left="2580" w:hanging="480"/>
      </w:pPr>
      <w:rPr>
        <w:rFonts w:hint="eastAsia" w:ascii="Arial" w:hAnsi="Arial"/>
        <w:sz w:val="28"/>
        <w:szCs w:val="28"/>
      </w:rPr>
    </w:lvl>
    <w:lvl w:ilvl="6" w:tentative="0">
      <w:start w:val="1"/>
      <w:numFmt w:val="decimal"/>
      <w:lvlText w:val="%7．"/>
      <w:lvlJc w:val="left"/>
      <w:pPr>
        <w:tabs>
          <w:tab w:val="left" w:pos="3240"/>
        </w:tabs>
        <w:ind w:left="3240" w:hanging="720"/>
      </w:pPr>
      <w:rPr>
        <w:rFonts w:hint="default" w:ascii="Times New Roman" w:hAnsi="Times New Roman" w:cs="Times New Roman"/>
        <w:sz w:val="21"/>
      </w:rPr>
    </w:lvl>
    <w:lvl w:ilvl="7" w:tentative="0">
      <w:start w:val="4"/>
      <w:numFmt w:val="chineseCounting"/>
      <w:suff w:val="space"/>
      <w:lvlText w:val="%8."/>
      <w:lvlJc w:val="left"/>
      <w:rPr>
        <w:rFonts w:hint="eastAsia"/>
      </w:rPr>
    </w:lvl>
    <w:lvl w:ilvl="8" w:tentative="0">
      <w:start w:val="1"/>
      <w:numFmt w:val="lowerRoman"/>
      <w:lvlText w:val="%9."/>
      <w:lvlJc w:val="right"/>
      <w:pPr>
        <w:tabs>
          <w:tab w:val="left" w:pos="3780"/>
        </w:tabs>
        <w:ind w:left="3780" w:hanging="420"/>
      </w:pPr>
    </w:lvl>
  </w:abstractNum>
  <w:abstractNum w:abstractNumId="24">
    <w:nsid w:val="09BD3F7D"/>
    <w:multiLevelType w:val="multilevel"/>
    <w:tmpl w:val="09BD3F7D"/>
    <w:lvl w:ilvl="0" w:tentative="0">
      <w:start w:val="1"/>
      <w:numFmt w:val="decimal"/>
      <w:lvlText w:val="%1."/>
      <w:lvlJc w:val="left"/>
      <w:pPr>
        <w:tabs>
          <w:tab w:val="left" w:pos="420"/>
        </w:tabs>
        <w:ind w:left="420" w:hanging="420"/>
      </w:pPr>
      <w:rPr>
        <w:rFonts w:hint="eastAsia"/>
      </w:rPr>
    </w:lvl>
    <w:lvl w:ilvl="1" w:tentative="0">
      <w:start w:val="1"/>
      <w:numFmt w:val="upperLetter"/>
      <w:lvlText w:val="%2."/>
      <w:lvlJc w:val="left"/>
      <w:pPr>
        <w:tabs>
          <w:tab w:val="left" w:pos="851"/>
        </w:tabs>
        <w:ind w:left="851" w:hanging="426"/>
      </w:pPr>
      <w:rPr>
        <w:rFonts w:hint="eastAsia"/>
      </w:rPr>
    </w:lvl>
    <w:lvl w:ilvl="2" w:tentative="0">
      <w:start w:val="7"/>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25">
    <w:nsid w:val="1A8B0DEE"/>
    <w:multiLevelType w:val="multilevel"/>
    <w:tmpl w:val="1A8B0DEE"/>
    <w:lvl w:ilvl="0" w:tentative="0">
      <w:start w:val="1"/>
      <w:numFmt w:val="bullet"/>
      <w:pStyle w:val="266"/>
      <w:lvlText w:val=""/>
      <w:lvlJc w:val="left"/>
      <w:pPr>
        <w:tabs>
          <w:tab w:val="left" w:pos="907"/>
        </w:tabs>
        <w:ind w:left="907" w:hanging="397"/>
      </w:pPr>
      <w:rPr>
        <w:rFonts w:hint="default" w:ascii="Wingdings" w:hAnsi="Wingdings"/>
      </w:rPr>
    </w:lvl>
    <w:lvl w:ilvl="1" w:tentative="0">
      <w:start w:val="1"/>
      <w:numFmt w:val="bullet"/>
      <w:lvlText w:val=""/>
      <w:lvlJc w:val="left"/>
      <w:pPr>
        <w:tabs>
          <w:tab w:val="left" w:pos="1033"/>
        </w:tabs>
        <w:ind w:left="1033" w:hanging="420"/>
      </w:pPr>
      <w:rPr>
        <w:rFonts w:hint="default" w:ascii="Wingdings" w:hAnsi="Wingdings"/>
      </w:rPr>
    </w:lvl>
    <w:lvl w:ilvl="2" w:tentative="0">
      <w:start w:val="1"/>
      <w:numFmt w:val="bullet"/>
      <w:lvlText w:val=""/>
      <w:lvlJc w:val="left"/>
      <w:pPr>
        <w:tabs>
          <w:tab w:val="left" w:pos="1453"/>
        </w:tabs>
        <w:ind w:left="1453" w:hanging="420"/>
      </w:pPr>
      <w:rPr>
        <w:rFonts w:hint="default" w:ascii="Wingdings" w:hAnsi="Wingdings"/>
      </w:rPr>
    </w:lvl>
    <w:lvl w:ilvl="3" w:tentative="0">
      <w:start w:val="1"/>
      <w:numFmt w:val="bullet"/>
      <w:lvlText w:val=""/>
      <w:lvlJc w:val="left"/>
      <w:pPr>
        <w:tabs>
          <w:tab w:val="left" w:pos="1873"/>
        </w:tabs>
        <w:ind w:left="1873" w:hanging="420"/>
      </w:pPr>
      <w:rPr>
        <w:rFonts w:hint="default" w:ascii="Wingdings" w:hAnsi="Wingdings"/>
      </w:rPr>
    </w:lvl>
    <w:lvl w:ilvl="4" w:tentative="0">
      <w:start w:val="1"/>
      <w:numFmt w:val="bullet"/>
      <w:lvlText w:val=""/>
      <w:lvlJc w:val="left"/>
      <w:pPr>
        <w:tabs>
          <w:tab w:val="left" w:pos="2293"/>
        </w:tabs>
        <w:ind w:left="2293" w:hanging="420"/>
      </w:pPr>
      <w:rPr>
        <w:rFonts w:hint="default" w:ascii="Wingdings" w:hAnsi="Wingdings"/>
      </w:rPr>
    </w:lvl>
    <w:lvl w:ilvl="5" w:tentative="0">
      <w:start w:val="1"/>
      <w:numFmt w:val="bullet"/>
      <w:lvlText w:val=""/>
      <w:lvlJc w:val="left"/>
      <w:pPr>
        <w:tabs>
          <w:tab w:val="left" w:pos="2713"/>
        </w:tabs>
        <w:ind w:left="2713" w:hanging="420"/>
      </w:pPr>
      <w:rPr>
        <w:rFonts w:hint="default" w:ascii="Wingdings" w:hAnsi="Wingdings"/>
      </w:rPr>
    </w:lvl>
    <w:lvl w:ilvl="6" w:tentative="0">
      <w:start w:val="1"/>
      <w:numFmt w:val="bullet"/>
      <w:lvlText w:val=""/>
      <w:lvlJc w:val="left"/>
      <w:pPr>
        <w:tabs>
          <w:tab w:val="left" w:pos="3133"/>
        </w:tabs>
        <w:ind w:left="3133" w:hanging="420"/>
      </w:pPr>
      <w:rPr>
        <w:rFonts w:hint="default" w:ascii="Wingdings" w:hAnsi="Wingdings"/>
      </w:rPr>
    </w:lvl>
    <w:lvl w:ilvl="7" w:tentative="0">
      <w:start w:val="1"/>
      <w:numFmt w:val="bullet"/>
      <w:lvlText w:val=""/>
      <w:lvlJc w:val="left"/>
      <w:pPr>
        <w:tabs>
          <w:tab w:val="left" w:pos="3553"/>
        </w:tabs>
        <w:ind w:left="3553" w:hanging="420"/>
      </w:pPr>
      <w:rPr>
        <w:rFonts w:hint="default" w:ascii="Wingdings" w:hAnsi="Wingdings"/>
      </w:rPr>
    </w:lvl>
    <w:lvl w:ilvl="8" w:tentative="0">
      <w:start w:val="1"/>
      <w:numFmt w:val="bullet"/>
      <w:lvlText w:val=""/>
      <w:lvlJc w:val="left"/>
      <w:pPr>
        <w:tabs>
          <w:tab w:val="left" w:pos="3973"/>
        </w:tabs>
        <w:ind w:left="3973" w:hanging="420"/>
      </w:pPr>
      <w:rPr>
        <w:rFonts w:hint="default" w:ascii="Wingdings" w:hAnsi="Wingdings"/>
      </w:rPr>
    </w:lvl>
  </w:abstractNum>
  <w:abstractNum w:abstractNumId="26">
    <w:nsid w:val="1AF61391"/>
    <w:multiLevelType w:val="multilevel"/>
    <w:tmpl w:val="1AF61391"/>
    <w:lvl w:ilvl="0" w:tentative="0">
      <w:start w:val="1"/>
      <w:numFmt w:val="decimal"/>
      <w:lvlText w:val="%1）"/>
      <w:lvlJc w:val="left"/>
      <w:pPr>
        <w:tabs>
          <w:tab w:val="left" w:pos="1920"/>
        </w:tabs>
        <w:ind w:left="19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21DA619B"/>
    <w:multiLevelType w:val="multilevel"/>
    <w:tmpl w:val="21DA619B"/>
    <w:lvl w:ilvl="0" w:tentative="0">
      <w:start w:val="1"/>
      <w:numFmt w:val="decimal"/>
      <w:lvlText w:val="%1."/>
      <w:lvlJc w:val="left"/>
      <w:pPr>
        <w:tabs>
          <w:tab w:val="left" w:pos="360"/>
        </w:tabs>
        <w:ind w:left="360" w:hanging="360"/>
      </w:pPr>
      <w:rPr>
        <w:rFonts w:hint="eastAsia"/>
      </w:rPr>
    </w:lvl>
    <w:lvl w:ilvl="1" w:tentative="0">
      <w:start w:val="2"/>
      <w:numFmt w:val="decimal"/>
      <w:pStyle w:val="194"/>
      <w:lvlText w:val="%2．"/>
      <w:lvlJc w:val="left"/>
      <w:pPr>
        <w:tabs>
          <w:tab w:val="left" w:pos="780"/>
        </w:tabs>
        <w:ind w:left="780" w:hanging="360"/>
      </w:pPr>
      <w:rPr>
        <w:rFonts w:hint="eastAsia" w:eastAsia="仿宋体"/>
      </w:rPr>
    </w:lvl>
    <w:lvl w:ilvl="2" w:tentative="0">
      <w:start w:val="4"/>
      <w:numFmt w:val="japaneseCounting"/>
      <w:lvlText w:val="%3、"/>
      <w:lvlJc w:val="left"/>
      <w:pPr>
        <w:tabs>
          <w:tab w:val="left" w:pos="1560"/>
        </w:tabs>
        <w:ind w:left="1560" w:hanging="720"/>
      </w:pPr>
      <w:rPr>
        <w:rFonts w:hint="eastAsia" w:hAnsi="宋体"/>
        <w:sz w:val="21"/>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1F23FB4"/>
    <w:multiLevelType w:val="multilevel"/>
    <w:tmpl w:val="31F23FB4"/>
    <w:lvl w:ilvl="0" w:tentative="0">
      <w:start w:val="1"/>
      <w:numFmt w:val="decimal"/>
      <w:lvlText w:val="%1."/>
      <w:lvlJc w:val="left"/>
      <w:pPr>
        <w:tabs>
          <w:tab w:val="left" w:pos="851"/>
        </w:tabs>
        <w:ind w:left="851" w:hanging="851"/>
      </w:pPr>
      <w:rPr>
        <w:rFonts w:hint="default" w:ascii="Times New Roman" w:hAnsi="Times New Roman" w:eastAsia="宋体" w:cs="Times New Roman"/>
        <w:b/>
        <w:i w:val="0"/>
        <w:sz w:val="24"/>
      </w:rPr>
    </w:lvl>
    <w:lvl w:ilvl="1" w:tentative="0">
      <w:start w:val="1"/>
      <w:numFmt w:val="decimal"/>
      <w:lvlText w:val="(%2)"/>
      <w:lvlJc w:val="left"/>
      <w:pPr>
        <w:tabs>
          <w:tab w:val="left" w:pos="644"/>
        </w:tabs>
        <w:ind w:left="644" w:hanging="360"/>
      </w:pPr>
      <w:rPr>
        <w:rFonts w:hint="default" w:ascii="Times New Roman" w:hAnsi="Times New Roman" w:eastAsia="宋体" w:cs="Times New Roman"/>
        <w:b w:val="0"/>
        <w:i w:val="0"/>
        <w:sz w:val="21"/>
        <w:szCs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9">
    <w:nsid w:val="38236540"/>
    <w:multiLevelType w:val="multilevel"/>
    <w:tmpl w:val="38236540"/>
    <w:lvl w:ilvl="0" w:tentative="0">
      <w:start w:val="1"/>
      <w:numFmt w:val="decimal"/>
      <w:lvlText w:val="%1）"/>
      <w:lvlJc w:val="left"/>
      <w:pPr>
        <w:tabs>
          <w:tab w:val="left" w:pos="1920"/>
        </w:tabs>
        <w:ind w:left="1920" w:hanging="360"/>
      </w:pPr>
      <w:rPr>
        <w:rFonts w:hint="default"/>
      </w:rPr>
    </w:lvl>
    <w:lvl w:ilvl="1" w:tentative="0">
      <w:start w:val="1"/>
      <w:numFmt w:val="japaneseCounting"/>
      <w:lvlText w:val="%2、"/>
      <w:lvlJc w:val="left"/>
      <w:pPr>
        <w:tabs>
          <w:tab w:val="left" w:pos="1140"/>
        </w:tabs>
        <w:ind w:left="1140" w:hanging="720"/>
      </w:pPr>
      <w:rPr>
        <w:rFonts w:hint="default"/>
        <w:b/>
      </w:rPr>
    </w:lvl>
    <w:lvl w:ilvl="2" w:tentative="0">
      <w:start w:val="1"/>
      <w:numFmt w:val="japaneseCounting"/>
      <w:lvlText w:val="第%3章"/>
      <w:lvlJc w:val="left"/>
      <w:pPr>
        <w:tabs>
          <w:tab w:val="left" w:pos="1920"/>
        </w:tabs>
        <w:ind w:left="1920" w:hanging="1080"/>
      </w:pPr>
      <w:rPr>
        <w:rFonts w:hint="default" w:ascii="Arial" w:cs="Times New Roman"/>
        <w:color w:val="auto"/>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040"/>
        </w:tabs>
        <w:ind w:left="2040" w:hanging="360"/>
      </w:pPr>
      <w:rPr>
        <w:rFonts w:hint="default"/>
        <w:b/>
      </w:rPr>
    </w:lvl>
    <w:lvl w:ilvl="5" w:tentative="0">
      <w:start w:val="1"/>
      <w:numFmt w:val="decimal"/>
      <w:lvlText w:val="（%6）"/>
      <w:lvlJc w:val="left"/>
      <w:pPr>
        <w:tabs>
          <w:tab w:val="left" w:pos="2820"/>
        </w:tabs>
        <w:ind w:left="2820" w:hanging="720"/>
      </w:pPr>
      <w:rPr>
        <w:rFonts w:hint="default"/>
      </w:rPr>
    </w:lvl>
    <w:lvl w:ilvl="6" w:tentative="0">
      <w:start w:val="1"/>
      <w:numFmt w:val="decimal"/>
      <w:lvlText w:val="%7、"/>
      <w:lvlJc w:val="left"/>
      <w:pPr>
        <w:tabs>
          <w:tab w:val="left" w:pos="420"/>
        </w:tabs>
        <w:ind w:left="420" w:hanging="420"/>
      </w:pPr>
      <w:rPr>
        <w:rFonts w:hint="default"/>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20"/>
        </w:tabs>
        <w:ind w:left="3720" w:hanging="360"/>
      </w:pPr>
      <w:rPr>
        <w:rFonts w:hint="eastAsia" w:ascii="宋体" w:hAnsi="宋体" w:eastAsia="宋体" w:cs="Times New Roman"/>
        <w:color w:val="FF0000"/>
      </w:rPr>
    </w:lvl>
  </w:abstractNum>
  <w:abstractNum w:abstractNumId="30">
    <w:nsid w:val="3C5423C6"/>
    <w:multiLevelType w:val="singleLevel"/>
    <w:tmpl w:val="3C5423C6"/>
    <w:lvl w:ilvl="0" w:tentative="0">
      <w:start w:val="1"/>
      <w:numFmt w:val="decimal"/>
      <w:pStyle w:val="77"/>
      <w:lvlText w:val="%1、"/>
      <w:lvlJc w:val="left"/>
      <w:pPr>
        <w:tabs>
          <w:tab w:val="left" w:pos="948"/>
        </w:tabs>
        <w:ind w:left="948" w:hanging="360"/>
      </w:pPr>
      <w:rPr>
        <w:rFonts w:hint="eastAsia"/>
      </w:rPr>
    </w:lvl>
  </w:abstractNum>
  <w:abstractNum w:abstractNumId="31">
    <w:nsid w:val="3CFE1F70"/>
    <w:multiLevelType w:val="multilevel"/>
    <w:tmpl w:val="3CFE1F70"/>
    <w:lvl w:ilvl="0" w:tentative="0">
      <w:start w:val="1"/>
      <w:numFmt w:val="ideographDigital"/>
      <w:pStyle w:val="143"/>
      <w:lvlText w:val="第%1章"/>
      <w:lvlJc w:val="left"/>
      <w:pPr>
        <w:tabs>
          <w:tab w:val="left" w:pos="845"/>
        </w:tabs>
        <w:ind w:left="845" w:hanging="425"/>
      </w:pPr>
      <w:rPr>
        <w:rFonts w:hint="eastAsia"/>
      </w:rPr>
    </w:lvl>
    <w:lvl w:ilvl="1" w:tentative="0">
      <w:start w:val="1"/>
      <w:numFmt w:val="decimal"/>
      <w:lvlText w:val="%1.%2"/>
      <w:lvlJc w:val="left"/>
      <w:pPr>
        <w:tabs>
          <w:tab w:val="left" w:pos="1412"/>
        </w:tabs>
        <w:ind w:left="1412" w:hanging="567"/>
      </w:pPr>
      <w:rPr>
        <w:rFonts w:hint="eastAsia"/>
      </w:rPr>
    </w:lvl>
    <w:lvl w:ilvl="2" w:tentative="0">
      <w:start w:val="1"/>
      <w:numFmt w:val="decimal"/>
      <w:pStyle w:val="119"/>
      <w:isLgl/>
      <w:lvlText w:val="%1.%2.%3"/>
      <w:lvlJc w:val="left"/>
      <w:pPr>
        <w:tabs>
          <w:tab w:val="left" w:pos="2351"/>
        </w:tabs>
        <w:ind w:left="1838" w:hanging="567"/>
      </w:pPr>
      <w:rPr>
        <w:rFonts w:hint="eastAsia"/>
      </w:rPr>
    </w:lvl>
    <w:lvl w:ilvl="3" w:tentative="0">
      <w:start w:val="1"/>
      <w:numFmt w:val="decimal"/>
      <w:lvlText w:val="%1.%2.%3.%4"/>
      <w:lvlJc w:val="left"/>
      <w:pPr>
        <w:tabs>
          <w:tab w:val="left" w:pos="3136"/>
        </w:tabs>
        <w:ind w:left="2404" w:hanging="708"/>
      </w:pPr>
      <w:rPr>
        <w:rFonts w:hint="eastAsia"/>
      </w:rPr>
    </w:lvl>
    <w:lvl w:ilvl="4" w:tentative="0">
      <w:start w:val="1"/>
      <w:numFmt w:val="decimal"/>
      <w:isLgl/>
      <w:lvlText w:val="%1.%2.%3.%4.%5"/>
      <w:lvlJc w:val="left"/>
      <w:pPr>
        <w:tabs>
          <w:tab w:val="left" w:pos="3921"/>
        </w:tabs>
        <w:ind w:left="2971" w:hanging="850"/>
      </w:pPr>
      <w:rPr>
        <w:rFonts w:hint="eastAsia"/>
      </w:rPr>
    </w:lvl>
    <w:lvl w:ilvl="5" w:tentative="0">
      <w:start w:val="1"/>
      <w:numFmt w:val="decimal"/>
      <w:lvlText w:val="%1.%2.%3.%4.%5.%6"/>
      <w:lvlJc w:val="left"/>
      <w:pPr>
        <w:tabs>
          <w:tab w:val="left" w:pos="3680"/>
        </w:tabs>
        <w:ind w:left="3680" w:hanging="1134"/>
      </w:pPr>
      <w:rPr>
        <w:rFonts w:hint="eastAsia"/>
      </w:rPr>
    </w:lvl>
    <w:lvl w:ilvl="6" w:tentative="0">
      <w:start w:val="1"/>
      <w:numFmt w:val="decimal"/>
      <w:lvlText w:val="%1.%2.%3.%4.%5.%6.%7"/>
      <w:lvlJc w:val="left"/>
      <w:pPr>
        <w:tabs>
          <w:tab w:val="left" w:pos="4247"/>
        </w:tabs>
        <w:ind w:left="4247" w:hanging="1276"/>
      </w:pPr>
      <w:rPr>
        <w:rFonts w:hint="eastAsia"/>
      </w:rPr>
    </w:lvl>
    <w:lvl w:ilvl="7" w:tentative="0">
      <w:start w:val="1"/>
      <w:numFmt w:val="decimal"/>
      <w:lvlText w:val="%1.%2.%3.%4.%5.%6.%7.%8"/>
      <w:lvlJc w:val="left"/>
      <w:pPr>
        <w:tabs>
          <w:tab w:val="left" w:pos="4814"/>
        </w:tabs>
        <w:ind w:left="4814" w:hanging="1418"/>
      </w:pPr>
      <w:rPr>
        <w:rFonts w:hint="eastAsia"/>
      </w:rPr>
    </w:lvl>
    <w:lvl w:ilvl="8" w:tentative="0">
      <w:start w:val="1"/>
      <w:numFmt w:val="decimal"/>
      <w:lvlText w:val="%1.%2.%3.%4.%5.%6.%7.%8.%9"/>
      <w:lvlJc w:val="left"/>
      <w:pPr>
        <w:tabs>
          <w:tab w:val="left" w:pos="5522"/>
        </w:tabs>
        <w:ind w:left="5522" w:hanging="1700"/>
      </w:pPr>
      <w:rPr>
        <w:rFonts w:hint="eastAsia"/>
      </w:rPr>
    </w:lvl>
  </w:abstractNum>
  <w:abstractNum w:abstractNumId="32">
    <w:nsid w:val="4A531658"/>
    <w:multiLevelType w:val="multilevel"/>
    <w:tmpl w:val="4A531658"/>
    <w:lvl w:ilvl="0" w:tentative="0">
      <w:start w:val="1"/>
      <w:numFmt w:val="lowerLetter"/>
      <w:lvlText w:val="%1)"/>
      <w:lvlJc w:val="left"/>
      <w:pPr>
        <w:tabs>
          <w:tab w:val="left" w:pos="1141"/>
        </w:tabs>
        <w:ind w:left="1141" w:hanging="420"/>
      </w:pPr>
      <w:rPr>
        <w:rFonts w:hint="default" w:ascii="Times New Roman" w:hAnsi="Times New Roman" w:eastAsia="宋体" w:cs="Times New Roman"/>
        <w:sz w:val="21"/>
        <w:szCs w:val="21"/>
      </w:rPr>
    </w:lvl>
    <w:lvl w:ilvl="1" w:tentative="0">
      <w:start w:val="1"/>
      <w:numFmt w:val="decimal"/>
      <w:lvlText w:val="（%2）"/>
      <w:lvlJc w:val="left"/>
      <w:pPr>
        <w:tabs>
          <w:tab w:val="left" w:pos="1861"/>
        </w:tabs>
        <w:ind w:left="1861" w:hanging="720"/>
      </w:pPr>
      <w:rPr>
        <w:rFonts w:hint="default" w:ascii="Times New Roman" w:hAnsi="Times New Roman" w:cs="Times New Roman"/>
      </w:rPr>
    </w:lvl>
    <w:lvl w:ilvl="2" w:tentative="0">
      <w:start w:val="1"/>
      <w:numFmt w:val="decimal"/>
      <w:lvlText w:val="%3、"/>
      <w:lvlJc w:val="left"/>
      <w:pPr>
        <w:tabs>
          <w:tab w:val="left" w:pos="1921"/>
        </w:tabs>
        <w:ind w:left="1921" w:hanging="360"/>
      </w:pPr>
      <w:rPr>
        <w:rFonts w:hint="default"/>
        <w:sz w:val="21"/>
        <w:szCs w:val="21"/>
      </w:rPr>
    </w:lvl>
    <w:lvl w:ilvl="3" w:tentative="0">
      <w:start w:val="1"/>
      <w:numFmt w:val="bullet"/>
      <w:lvlText w:val=""/>
      <w:lvlJc w:val="left"/>
      <w:pPr>
        <w:tabs>
          <w:tab w:val="left" w:pos="2401"/>
        </w:tabs>
        <w:ind w:left="2401" w:hanging="420"/>
      </w:pPr>
      <w:rPr>
        <w:rFonts w:hint="default" w:ascii="Wingdings" w:hAnsi="Wingdings"/>
        <w:sz w:val="21"/>
        <w:szCs w:val="21"/>
      </w:rPr>
    </w:lvl>
    <w:lvl w:ilvl="4" w:tentative="0">
      <w:start w:val="1"/>
      <w:numFmt w:val="lowerLetter"/>
      <w:lvlText w:val="%5)"/>
      <w:lvlJc w:val="left"/>
      <w:pPr>
        <w:tabs>
          <w:tab w:val="left" w:pos="2821"/>
        </w:tabs>
        <w:ind w:left="2821" w:hanging="420"/>
      </w:pPr>
    </w:lvl>
    <w:lvl w:ilvl="5" w:tentative="0">
      <w:start w:val="1"/>
      <w:numFmt w:val="lowerRoman"/>
      <w:lvlText w:val="%6."/>
      <w:lvlJc w:val="right"/>
      <w:pPr>
        <w:tabs>
          <w:tab w:val="left" w:pos="3241"/>
        </w:tabs>
        <w:ind w:left="3241" w:hanging="420"/>
      </w:pPr>
    </w:lvl>
    <w:lvl w:ilvl="6" w:tentative="0">
      <w:start w:val="1"/>
      <w:numFmt w:val="decimal"/>
      <w:lvlText w:val="%7."/>
      <w:lvlJc w:val="left"/>
      <w:pPr>
        <w:tabs>
          <w:tab w:val="left" w:pos="3661"/>
        </w:tabs>
        <w:ind w:left="3661" w:hanging="420"/>
      </w:pPr>
    </w:lvl>
    <w:lvl w:ilvl="7" w:tentative="0">
      <w:start w:val="1"/>
      <w:numFmt w:val="lowerLetter"/>
      <w:lvlText w:val="%8)"/>
      <w:lvlJc w:val="left"/>
      <w:pPr>
        <w:tabs>
          <w:tab w:val="left" w:pos="4081"/>
        </w:tabs>
        <w:ind w:left="4081" w:hanging="420"/>
      </w:pPr>
    </w:lvl>
    <w:lvl w:ilvl="8" w:tentative="0">
      <w:start w:val="1"/>
      <w:numFmt w:val="lowerRoman"/>
      <w:lvlText w:val="%9."/>
      <w:lvlJc w:val="right"/>
      <w:pPr>
        <w:tabs>
          <w:tab w:val="left" w:pos="4501"/>
        </w:tabs>
        <w:ind w:left="4501" w:hanging="420"/>
      </w:pPr>
    </w:lvl>
  </w:abstractNum>
  <w:abstractNum w:abstractNumId="33">
    <w:nsid w:val="4A8B0558"/>
    <w:multiLevelType w:val="multilevel"/>
    <w:tmpl w:val="4A8B0558"/>
    <w:lvl w:ilvl="0" w:tentative="0">
      <w:start w:val="1"/>
      <w:numFmt w:val="decimal"/>
      <w:lvlText w:val="%1）"/>
      <w:lvlJc w:val="left"/>
      <w:pPr>
        <w:tabs>
          <w:tab w:val="left" w:pos="1920"/>
        </w:tabs>
        <w:ind w:left="19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5A41EF1F"/>
    <w:multiLevelType w:val="singleLevel"/>
    <w:tmpl w:val="5A41EF1F"/>
    <w:lvl w:ilvl="0" w:tentative="0">
      <w:start w:val="1"/>
      <w:numFmt w:val="decimal"/>
      <w:suff w:val="space"/>
      <w:lvlText w:val="%1."/>
      <w:lvlJc w:val="left"/>
    </w:lvl>
  </w:abstractNum>
  <w:abstractNum w:abstractNumId="35">
    <w:nsid w:val="5A420D0A"/>
    <w:multiLevelType w:val="singleLevel"/>
    <w:tmpl w:val="5A420D0A"/>
    <w:lvl w:ilvl="0" w:tentative="0">
      <w:start w:val="1"/>
      <w:numFmt w:val="decimal"/>
      <w:suff w:val="nothing"/>
      <w:lvlText w:val="%1、"/>
      <w:lvlJc w:val="left"/>
    </w:lvl>
  </w:abstractNum>
  <w:abstractNum w:abstractNumId="36">
    <w:nsid w:val="5FAC1641"/>
    <w:multiLevelType w:val="multilevel"/>
    <w:tmpl w:val="5FAC164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6232511"/>
    <w:multiLevelType w:val="multilevel"/>
    <w:tmpl w:val="66232511"/>
    <w:lvl w:ilvl="0" w:tentative="0">
      <w:start w:val="1"/>
      <w:numFmt w:val="decimal"/>
      <w:pStyle w:val="97"/>
      <w:lvlText w:val="3.%1."/>
      <w:lvlJc w:val="left"/>
      <w:pPr>
        <w:tabs>
          <w:tab w:val="left" w:pos="510"/>
        </w:tabs>
        <w:ind w:left="510" w:hanging="510"/>
      </w:pPr>
      <w:rPr>
        <w:rFonts w:hint="eastAsia"/>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6A6C0268"/>
    <w:multiLevelType w:val="multilevel"/>
    <w:tmpl w:val="6A6C0268"/>
    <w:lvl w:ilvl="0" w:tentative="0">
      <w:start w:val="1"/>
      <w:numFmt w:val="none"/>
      <w:suff w:val="space"/>
      <w:lvlText w:val=""/>
      <w:lvlJc w:val="left"/>
      <w:pPr>
        <w:ind w:left="964" w:hanging="397"/>
      </w:pPr>
      <w:rPr>
        <w:rFonts w:hint="default"/>
      </w:rPr>
    </w:lvl>
    <w:lvl w:ilvl="1" w:tentative="0">
      <w:start w:val="1"/>
      <w:numFmt w:val="decimal"/>
      <w:isLgl/>
      <w:suff w:val="space"/>
      <w:lvlText w:val="&lt;%2&gt;"/>
      <w:lvlJc w:val="left"/>
      <w:pPr>
        <w:ind w:left="964" w:hanging="397"/>
      </w:pPr>
      <w:rPr>
        <w:rFonts w:hint="eastAsia"/>
      </w:rPr>
    </w:lvl>
    <w:lvl w:ilvl="2" w:tentative="0">
      <w:start w:val="1"/>
      <w:numFmt w:val="bullet"/>
      <w:suff w:val="space"/>
      <w:lvlText w:val=""/>
      <w:lvlJc w:val="left"/>
      <w:pPr>
        <w:ind w:left="851" w:hanging="426"/>
      </w:pPr>
      <w:rPr>
        <w:rFonts w:hint="default" w:ascii="Wingdings" w:hAnsi="Wingdings"/>
      </w:rPr>
    </w:lvl>
    <w:lvl w:ilvl="3" w:tentative="0">
      <w:start w:val="1"/>
      <w:numFmt w:val="bullet"/>
      <w:suff w:val="space"/>
      <w:lvlText w:val=""/>
      <w:lvlJc w:val="left"/>
      <w:pPr>
        <w:ind w:left="851" w:hanging="426"/>
      </w:pPr>
      <w:rPr>
        <w:rFonts w:hint="default" w:ascii="Wingdings" w:hAnsi="Wingdings"/>
      </w:rPr>
    </w:lvl>
    <w:lvl w:ilvl="4" w:tentative="0">
      <w:start w:val="1"/>
      <w:numFmt w:val="bullet"/>
      <w:pStyle w:val="172"/>
      <w:suff w:val="space"/>
      <w:lvlText w:val=""/>
      <w:lvlJc w:val="left"/>
      <w:pPr>
        <w:ind w:left="737" w:hanging="312"/>
      </w:pPr>
      <w:rPr>
        <w:rFonts w:hint="default" w:ascii="Wingdings" w:hAnsi="Wingdings"/>
        <w:color w:val="auto"/>
        <w:sz w:val="15"/>
      </w:rPr>
    </w:lvl>
    <w:lvl w:ilvl="5" w:tentative="0">
      <w:start w:val="1"/>
      <w:numFmt w:val="none"/>
      <w:suff w:val="nothing"/>
      <w:lvlText w:val=""/>
      <w:lvlJc w:val="left"/>
      <w:pPr>
        <w:ind w:left="2410" w:hanging="426"/>
      </w:pPr>
      <w:rPr>
        <w:rFonts w:hint="eastAsia"/>
      </w:rPr>
    </w:lvl>
    <w:lvl w:ilvl="6" w:tentative="0">
      <w:start w:val="1"/>
      <w:numFmt w:val="none"/>
      <w:lvlText w:val=""/>
      <w:lvlJc w:val="left"/>
      <w:pPr>
        <w:tabs>
          <w:tab w:val="left" w:pos="2835"/>
        </w:tabs>
        <w:ind w:left="2835" w:hanging="426"/>
      </w:pPr>
      <w:rPr>
        <w:rFonts w:hint="eastAsia"/>
      </w:rPr>
    </w:lvl>
    <w:lvl w:ilvl="7" w:tentative="0">
      <w:start w:val="1"/>
      <w:numFmt w:val="none"/>
      <w:lvlText w:val=""/>
      <w:lvlJc w:val="left"/>
      <w:pPr>
        <w:tabs>
          <w:tab w:val="left" w:pos="3260"/>
        </w:tabs>
        <w:ind w:left="3260" w:hanging="425"/>
      </w:pPr>
      <w:rPr>
        <w:rFonts w:hint="eastAsia"/>
      </w:rPr>
    </w:lvl>
    <w:lvl w:ilvl="8" w:tentative="0">
      <w:start w:val="1"/>
      <w:numFmt w:val="none"/>
      <w:lvlText w:val=""/>
      <w:lvlJc w:val="left"/>
      <w:pPr>
        <w:tabs>
          <w:tab w:val="left" w:pos="360"/>
        </w:tabs>
        <w:ind w:left="0" w:firstLine="0"/>
      </w:pPr>
      <w:rPr>
        <w:rFonts w:hint="eastAsia"/>
      </w:rPr>
    </w:lvl>
  </w:abstractNum>
  <w:abstractNum w:abstractNumId="39">
    <w:nsid w:val="6CC22FD7"/>
    <w:multiLevelType w:val="multilevel"/>
    <w:tmpl w:val="6CC22FD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0"/>
  </w:num>
  <w:num w:numId="2">
    <w:abstractNumId w:val="30"/>
  </w:num>
  <w:num w:numId="3">
    <w:abstractNumId w:val="37"/>
  </w:num>
  <w:num w:numId="4">
    <w:abstractNumId w:val="2"/>
  </w:num>
  <w:num w:numId="5">
    <w:abstractNumId w:val="31"/>
  </w:num>
  <w:num w:numId="6">
    <w:abstractNumId w:val="38"/>
  </w:num>
  <w:num w:numId="7">
    <w:abstractNumId w:val="27"/>
  </w:num>
  <w:num w:numId="8">
    <w:abstractNumId w:val="25"/>
  </w:num>
  <w:num w:numId="9">
    <w:abstractNumId w:val="17"/>
  </w:num>
  <w:num w:numId="10">
    <w:abstractNumId w:val="16"/>
  </w:num>
  <w:num w:numId="11">
    <w:abstractNumId w:val="24"/>
  </w:num>
  <w:num w:numId="12">
    <w:abstractNumId w:val="21"/>
  </w:num>
  <w:num w:numId="13">
    <w:abstractNumId w:val="36"/>
  </w:num>
  <w:num w:numId="14">
    <w:abstractNumId w:val="1"/>
  </w:num>
  <w:num w:numId="15">
    <w:abstractNumId w:val="23"/>
  </w:num>
  <w:num w:numId="16">
    <w:abstractNumId w:val="28"/>
  </w:num>
  <w:num w:numId="17">
    <w:abstractNumId w:val="28"/>
    <w:lvlOverride w:ilvl="1">
      <w:startOverride w:val="1"/>
    </w:lvlOverride>
  </w:num>
  <w:num w:numId="18">
    <w:abstractNumId w:val="6"/>
  </w:num>
  <w:num w:numId="19">
    <w:abstractNumId w:val="4"/>
  </w:num>
  <w:num w:numId="20">
    <w:abstractNumId w:val="7"/>
  </w:num>
  <w:num w:numId="21">
    <w:abstractNumId w:val="32"/>
  </w:num>
  <w:num w:numId="22">
    <w:abstractNumId w:val="3"/>
  </w:num>
  <w:num w:numId="23">
    <w:abstractNumId w:val="22"/>
  </w:num>
  <w:num w:numId="24">
    <w:abstractNumId w:val="33"/>
  </w:num>
  <w:num w:numId="25">
    <w:abstractNumId w:val="29"/>
  </w:num>
  <w:num w:numId="26">
    <w:abstractNumId w:val="26"/>
  </w:num>
  <w:num w:numId="27">
    <w:abstractNumId w:val="0"/>
  </w:num>
  <w:num w:numId="28">
    <w:abstractNumId w:val="5"/>
  </w:num>
  <w:num w:numId="29">
    <w:abstractNumId w:val="18"/>
  </w:num>
  <w:num w:numId="30">
    <w:abstractNumId w:val="14"/>
  </w:num>
  <w:num w:numId="31">
    <w:abstractNumId w:val="13"/>
  </w:num>
  <w:num w:numId="32">
    <w:abstractNumId w:val="9"/>
  </w:num>
  <w:num w:numId="33">
    <w:abstractNumId w:val="19"/>
  </w:num>
  <w:num w:numId="34">
    <w:abstractNumId w:val="8"/>
  </w:num>
  <w:num w:numId="35">
    <w:abstractNumId w:val="15"/>
  </w:num>
  <w:num w:numId="36">
    <w:abstractNumId w:val="11"/>
  </w:num>
  <w:num w:numId="37">
    <w:abstractNumId w:val="34"/>
  </w:num>
  <w:num w:numId="38">
    <w:abstractNumId w:val="12"/>
  </w:num>
  <w:num w:numId="39">
    <w:abstractNumId w:val="10"/>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720"/>
  <w:drawingGridHorizontalSpacing w:val="106"/>
  <w:drawingGridVerticalSpacing w:val="143"/>
  <w:displayHorizontalDrawingGridEvery w:val="0"/>
  <w:displayVerticalDrawingGridEvery w:val="2"/>
  <w:noPunctuationKerning w:val="1"/>
  <w:characterSpacingControl w:val="doNotCompress"/>
  <w:hdrShapeDefaults>
    <o:shapelayout v:ext="edit">
      <o:idmap v:ext="edit" data="2"/>
    </o:shapelayout>
  </w:hdrShapeDefault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27D05"/>
    <w:rsid w:val="000000D3"/>
    <w:rsid w:val="000004FC"/>
    <w:rsid w:val="0000052B"/>
    <w:rsid w:val="00000EF5"/>
    <w:rsid w:val="00001083"/>
    <w:rsid w:val="00001F06"/>
    <w:rsid w:val="0000338E"/>
    <w:rsid w:val="000037DA"/>
    <w:rsid w:val="0000427C"/>
    <w:rsid w:val="00004376"/>
    <w:rsid w:val="00004414"/>
    <w:rsid w:val="000046CC"/>
    <w:rsid w:val="0000531E"/>
    <w:rsid w:val="00006DE7"/>
    <w:rsid w:val="00007E98"/>
    <w:rsid w:val="00010988"/>
    <w:rsid w:val="00010DBB"/>
    <w:rsid w:val="00011A6E"/>
    <w:rsid w:val="000128E0"/>
    <w:rsid w:val="00012914"/>
    <w:rsid w:val="00013205"/>
    <w:rsid w:val="000139E5"/>
    <w:rsid w:val="00013BE1"/>
    <w:rsid w:val="0001453E"/>
    <w:rsid w:val="0001545E"/>
    <w:rsid w:val="00015492"/>
    <w:rsid w:val="0001561C"/>
    <w:rsid w:val="00016149"/>
    <w:rsid w:val="000167BF"/>
    <w:rsid w:val="00017CB9"/>
    <w:rsid w:val="00020B89"/>
    <w:rsid w:val="00021594"/>
    <w:rsid w:val="000215E8"/>
    <w:rsid w:val="00021E4C"/>
    <w:rsid w:val="00022116"/>
    <w:rsid w:val="00022883"/>
    <w:rsid w:val="000228FB"/>
    <w:rsid w:val="00022E4E"/>
    <w:rsid w:val="00022EFA"/>
    <w:rsid w:val="00024436"/>
    <w:rsid w:val="00025095"/>
    <w:rsid w:val="00025503"/>
    <w:rsid w:val="00025731"/>
    <w:rsid w:val="00025C18"/>
    <w:rsid w:val="00025D02"/>
    <w:rsid w:val="00025D73"/>
    <w:rsid w:val="00025E5C"/>
    <w:rsid w:val="00026B01"/>
    <w:rsid w:val="00027183"/>
    <w:rsid w:val="0002721F"/>
    <w:rsid w:val="00027307"/>
    <w:rsid w:val="000277D8"/>
    <w:rsid w:val="00030E50"/>
    <w:rsid w:val="00031874"/>
    <w:rsid w:val="0003189B"/>
    <w:rsid w:val="00031BBC"/>
    <w:rsid w:val="00031C2C"/>
    <w:rsid w:val="00031D8E"/>
    <w:rsid w:val="00031FCE"/>
    <w:rsid w:val="0003256B"/>
    <w:rsid w:val="000330B9"/>
    <w:rsid w:val="0003449F"/>
    <w:rsid w:val="0003523F"/>
    <w:rsid w:val="0003577F"/>
    <w:rsid w:val="00035E0E"/>
    <w:rsid w:val="00036592"/>
    <w:rsid w:val="00036603"/>
    <w:rsid w:val="00036B0F"/>
    <w:rsid w:val="00037094"/>
    <w:rsid w:val="00037474"/>
    <w:rsid w:val="00037533"/>
    <w:rsid w:val="0003775B"/>
    <w:rsid w:val="00040817"/>
    <w:rsid w:val="00040A26"/>
    <w:rsid w:val="000414AA"/>
    <w:rsid w:val="00042505"/>
    <w:rsid w:val="00043DE7"/>
    <w:rsid w:val="000442FD"/>
    <w:rsid w:val="0004475D"/>
    <w:rsid w:val="00044A4B"/>
    <w:rsid w:val="00045138"/>
    <w:rsid w:val="0004571A"/>
    <w:rsid w:val="00046B99"/>
    <w:rsid w:val="00046EF1"/>
    <w:rsid w:val="000474CA"/>
    <w:rsid w:val="000476AA"/>
    <w:rsid w:val="00047C7F"/>
    <w:rsid w:val="0005036D"/>
    <w:rsid w:val="00050454"/>
    <w:rsid w:val="00050761"/>
    <w:rsid w:val="0005113E"/>
    <w:rsid w:val="00051B80"/>
    <w:rsid w:val="0005270B"/>
    <w:rsid w:val="0005371D"/>
    <w:rsid w:val="0005382C"/>
    <w:rsid w:val="000538CA"/>
    <w:rsid w:val="00053CCA"/>
    <w:rsid w:val="000546CC"/>
    <w:rsid w:val="00055E30"/>
    <w:rsid w:val="00055FC3"/>
    <w:rsid w:val="00056E77"/>
    <w:rsid w:val="00056F81"/>
    <w:rsid w:val="000575D2"/>
    <w:rsid w:val="000578EA"/>
    <w:rsid w:val="00057C62"/>
    <w:rsid w:val="0006119B"/>
    <w:rsid w:val="00061A47"/>
    <w:rsid w:val="000629CB"/>
    <w:rsid w:val="00063057"/>
    <w:rsid w:val="000640A6"/>
    <w:rsid w:val="00064304"/>
    <w:rsid w:val="00064441"/>
    <w:rsid w:val="0006468D"/>
    <w:rsid w:val="0006470A"/>
    <w:rsid w:val="00064B6C"/>
    <w:rsid w:val="00065249"/>
    <w:rsid w:val="00065F18"/>
    <w:rsid w:val="0006600F"/>
    <w:rsid w:val="0006635B"/>
    <w:rsid w:val="00066D6C"/>
    <w:rsid w:val="00067279"/>
    <w:rsid w:val="000676D3"/>
    <w:rsid w:val="0007010C"/>
    <w:rsid w:val="00070ADD"/>
    <w:rsid w:val="00071408"/>
    <w:rsid w:val="000715EA"/>
    <w:rsid w:val="000729BF"/>
    <w:rsid w:val="00072B49"/>
    <w:rsid w:val="00072F26"/>
    <w:rsid w:val="0007300C"/>
    <w:rsid w:val="00073B33"/>
    <w:rsid w:val="00073C2B"/>
    <w:rsid w:val="0007449C"/>
    <w:rsid w:val="000745B0"/>
    <w:rsid w:val="00074D5B"/>
    <w:rsid w:val="00074ECE"/>
    <w:rsid w:val="000752E7"/>
    <w:rsid w:val="000754AB"/>
    <w:rsid w:val="000754EF"/>
    <w:rsid w:val="0007573B"/>
    <w:rsid w:val="000757E8"/>
    <w:rsid w:val="00075F8C"/>
    <w:rsid w:val="00076527"/>
    <w:rsid w:val="0007767E"/>
    <w:rsid w:val="000777C9"/>
    <w:rsid w:val="00077BA3"/>
    <w:rsid w:val="00080940"/>
    <w:rsid w:val="00080B04"/>
    <w:rsid w:val="00080E64"/>
    <w:rsid w:val="00081C64"/>
    <w:rsid w:val="00081ED9"/>
    <w:rsid w:val="00082DBA"/>
    <w:rsid w:val="00082E84"/>
    <w:rsid w:val="00082F71"/>
    <w:rsid w:val="000835FF"/>
    <w:rsid w:val="000839E0"/>
    <w:rsid w:val="00083C78"/>
    <w:rsid w:val="00083D1E"/>
    <w:rsid w:val="00084521"/>
    <w:rsid w:val="000852F1"/>
    <w:rsid w:val="00085D64"/>
    <w:rsid w:val="00086AB6"/>
    <w:rsid w:val="00086AE9"/>
    <w:rsid w:val="00086C30"/>
    <w:rsid w:val="00087687"/>
    <w:rsid w:val="00087B5F"/>
    <w:rsid w:val="00090265"/>
    <w:rsid w:val="000906BA"/>
    <w:rsid w:val="000907EA"/>
    <w:rsid w:val="000909DA"/>
    <w:rsid w:val="00090CD0"/>
    <w:rsid w:val="0009164C"/>
    <w:rsid w:val="00091674"/>
    <w:rsid w:val="00091794"/>
    <w:rsid w:val="00091CA9"/>
    <w:rsid w:val="00091CE8"/>
    <w:rsid w:val="000924A2"/>
    <w:rsid w:val="00092AA2"/>
    <w:rsid w:val="00093628"/>
    <w:rsid w:val="00093705"/>
    <w:rsid w:val="00093960"/>
    <w:rsid w:val="00093EC7"/>
    <w:rsid w:val="000942B4"/>
    <w:rsid w:val="00095A07"/>
    <w:rsid w:val="00095C95"/>
    <w:rsid w:val="00095D10"/>
    <w:rsid w:val="00096027"/>
    <w:rsid w:val="00096986"/>
    <w:rsid w:val="00097990"/>
    <w:rsid w:val="00097CE2"/>
    <w:rsid w:val="00097FBF"/>
    <w:rsid w:val="000A0136"/>
    <w:rsid w:val="000A028D"/>
    <w:rsid w:val="000A0DCF"/>
    <w:rsid w:val="000A0F36"/>
    <w:rsid w:val="000A11D5"/>
    <w:rsid w:val="000A15A3"/>
    <w:rsid w:val="000A342A"/>
    <w:rsid w:val="000A3E01"/>
    <w:rsid w:val="000A4B55"/>
    <w:rsid w:val="000A4D67"/>
    <w:rsid w:val="000A4E74"/>
    <w:rsid w:val="000A51E1"/>
    <w:rsid w:val="000A51FE"/>
    <w:rsid w:val="000A6BB2"/>
    <w:rsid w:val="000A78F7"/>
    <w:rsid w:val="000B0B15"/>
    <w:rsid w:val="000B0CC0"/>
    <w:rsid w:val="000B1D36"/>
    <w:rsid w:val="000B3854"/>
    <w:rsid w:val="000B4286"/>
    <w:rsid w:val="000B441C"/>
    <w:rsid w:val="000B4AA6"/>
    <w:rsid w:val="000B5C3F"/>
    <w:rsid w:val="000B5C40"/>
    <w:rsid w:val="000B64F0"/>
    <w:rsid w:val="000B6592"/>
    <w:rsid w:val="000B67A9"/>
    <w:rsid w:val="000B74AD"/>
    <w:rsid w:val="000B7B84"/>
    <w:rsid w:val="000C03F5"/>
    <w:rsid w:val="000C04C0"/>
    <w:rsid w:val="000C0762"/>
    <w:rsid w:val="000C0D71"/>
    <w:rsid w:val="000C1354"/>
    <w:rsid w:val="000C15EA"/>
    <w:rsid w:val="000C164B"/>
    <w:rsid w:val="000C17D3"/>
    <w:rsid w:val="000C2368"/>
    <w:rsid w:val="000C2823"/>
    <w:rsid w:val="000C651A"/>
    <w:rsid w:val="000C66F1"/>
    <w:rsid w:val="000C7117"/>
    <w:rsid w:val="000C73FA"/>
    <w:rsid w:val="000C7498"/>
    <w:rsid w:val="000C7738"/>
    <w:rsid w:val="000D078D"/>
    <w:rsid w:val="000D0C9B"/>
    <w:rsid w:val="000D15D2"/>
    <w:rsid w:val="000D1F6E"/>
    <w:rsid w:val="000D276B"/>
    <w:rsid w:val="000D2C71"/>
    <w:rsid w:val="000D3557"/>
    <w:rsid w:val="000D3F67"/>
    <w:rsid w:val="000D5247"/>
    <w:rsid w:val="000D6CA6"/>
    <w:rsid w:val="000E0585"/>
    <w:rsid w:val="000E125E"/>
    <w:rsid w:val="000E183C"/>
    <w:rsid w:val="000E5664"/>
    <w:rsid w:val="000E5C6F"/>
    <w:rsid w:val="000E6943"/>
    <w:rsid w:val="000E72D9"/>
    <w:rsid w:val="000E78BB"/>
    <w:rsid w:val="000E7945"/>
    <w:rsid w:val="000F00B6"/>
    <w:rsid w:val="000F021F"/>
    <w:rsid w:val="000F031E"/>
    <w:rsid w:val="000F1EC3"/>
    <w:rsid w:val="000F2A49"/>
    <w:rsid w:val="000F3053"/>
    <w:rsid w:val="000F364C"/>
    <w:rsid w:val="000F3901"/>
    <w:rsid w:val="000F4017"/>
    <w:rsid w:val="000F5950"/>
    <w:rsid w:val="000F5C83"/>
    <w:rsid w:val="000F5FD8"/>
    <w:rsid w:val="000F7A77"/>
    <w:rsid w:val="00100371"/>
    <w:rsid w:val="00100627"/>
    <w:rsid w:val="0010066B"/>
    <w:rsid w:val="00100E95"/>
    <w:rsid w:val="00100F25"/>
    <w:rsid w:val="001011E5"/>
    <w:rsid w:val="00101521"/>
    <w:rsid w:val="001024C6"/>
    <w:rsid w:val="00102F15"/>
    <w:rsid w:val="0010365B"/>
    <w:rsid w:val="00103E37"/>
    <w:rsid w:val="00104381"/>
    <w:rsid w:val="0010645F"/>
    <w:rsid w:val="001068CE"/>
    <w:rsid w:val="00106FAC"/>
    <w:rsid w:val="001076FF"/>
    <w:rsid w:val="001107D4"/>
    <w:rsid w:val="00110BD6"/>
    <w:rsid w:val="00110BF8"/>
    <w:rsid w:val="00110D64"/>
    <w:rsid w:val="00112D53"/>
    <w:rsid w:val="00113597"/>
    <w:rsid w:val="00113CB6"/>
    <w:rsid w:val="00113DE3"/>
    <w:rsid w:val="001147DE"/>
    <w:rsid w:val="00115BAF"/>
    <w:rsid w:val="00115C4A"/>
    <w:rsid w:val="00116594"/>
    <w:rsid w:val="00116A90"/>
    <w:rsid w:val="00116B25"/>
    <w:rsid w:val="00116C28"/>
    <w:rsid w:val="00116E9F"/>
    <w:rsid w:val="00116EC3"/>
    <w:rsid w:val="001177FF"/>
    <w:rsid w:val="001226EE"/>
    <w:rsid w:val="00122BBE"/>
    <w:rsid w:val="00122D7C"/>
    <w:rsid w:val="001233C9"/>
    <w:rsid w:val="00123655"/>
    <w:rsid w:val="00123E9E"/>
    <w:rsid w:val="001244CE"/>
    <w:rsid w:val="00124A1F"/>
    <w:rsid w:val="0012590C"/>
    <w:rsid w:val="001259C2"/>
    <w:rsid w:val="0012692C"/>
    <w:rsid w:val="00126945"/>
    <w:rsid w:val="0012699B"/>
    <w:rsid w:val="00126A3A"/>
    <w:rsid w:val="00126C15"/>
    <w:rsid w:val="0012701D"/>
    <w:rsid w:val="00130276"/>
    <w:rsid w:val="00130728"/>
    <w:rsid w:val="00130843"/>
    <w:rsid w:val="00130991"/>
    <w:rsid w:val="001318A6"/>
    <w:rsid w:val="00131C6D"/>
    <w:rsid w:val="001321D1"/>
    <w:rsid w:val="0013228A"/>
    <w:rsid w:val="001325B8"/>
    <w:rsid w:val="001326E1"/>
    <w:rsid w:val="00132962"/>
    <w:rsid w:val="001339F6"/>
    <w:rsid w:val="001340EA"/>
    <w:rsid w:val="0013453C"/>
    <w:rsid w:val="00134E6D"/>
    <w:rsid w:val="00135D1A"/>
    <w:rsid w:val="0013646E"/>
    <w:rsid w:val="00137274"/>
    <w:rsid w:val="00137B3C"/>
    <w:rsid w:val="00137B9F"/>
    <w:rsid w:val="00137F60"/>
    <w:rsid w:val="001401E7"/>
    <w:rsid w:val="00140726"/>
    <w:rsid w:val="00140805"/>
    <w:rsid w:val="00141371"/>
    <w:rsid w:val="0014208F"/>
    <w:rsid w:val="00143364"/>
    <w:rsid w:val="001436A2"/>
    <w:rsid w:val="00143FD9"/>
    <w:rsid w:val="00144FF6"/>
    <w:rsid w:val="00145E1A"/>
    <w:rsid w:val="00145EA8"/>
    <w:rsid w:val="00146440"/>
    <w:rsid w:val="001465C8"/>
    <w:rsid w:val="00150200"/>
    <w:rsid w:val="001505E2"/>
    <w:rsid w:val="001506A4"/>
    <w:rsid w:val="00150F03"/>
    <w:rsid w:val="00151542"/>
    <w:rsid w:val="00151ADF"/>
    <w:rsid w:val="00151C4A"/>
    <w:rsid w:val="001521C5"/>
    <w:rsid w:val="001524CC"/>
    <w:rsid w:val="00152BAE"/>
    <w:rsid w:val="00152F66"/>
    <w:rsid w:val="00153DBD"/>
    <w:rsid w:val="0015465B"/>
    <w:rsid w:val="00154D23"/>
    <w:rsid w:val="0015550C"/>
    <w:rsid w:val="00155BFD"/>
    <w:rsid w:val="00155F2A"/>
    <w:rsid w:val="00156B32"/>
    <w:rsid w:val="00157311"/>
    <w:rsid w:val="001573F4"/>
    <w:rsid w:val="00161872"/>
    <w:rsid w:val="001620E7"/>
    <w:rsid w:val="00162454"/>
    <w:rsid w:val="001628CD"/>
    <w:rsid w:val="00163415"/>
    <w:rsid w:val="00163DFF"/>
    <w:rsid w:val="001652FB"/>
    <w:rsid w:val="00165B67"/>
    <w:rsid w:val="00165F20"/>
    <w:rsid w:val="00166040"/>
    <w:rsid w:val="0016616D"/>
    <w:rsid w:val="0016619A"/>
    <w:rsid w:val="00166C3C"/>
    <w:rsid w:val="00166C7D"/>
    <w:rsid w:val="00166F1D"/>
    <w:rsid w:val="0017001F"/>
    <w:rsid w:val="00170403"/>
    <w:rsid w:val="00170B4D"/>
    <w:rsid w:val="00170B8F"/>
    <w:rsid w:val="00170F6E"/>
    <w:rsid w:val="00171A80"/>
    <w:rsid w:val="00172B06"/>
    <w:rsid w:val="00173443"/>
    <w:rsid w:val="00173A5D"/>
    <w:rsid w:val="00174771"/>
    <w:rsid w:val="00174A93"/>
    <w:rsid w:val="00174F62"/>
    <w:rsid w:val="00175226"/>
    <w:rsid w:val="001755CB"/>
    <w:rsid w:val="0017561B"/>
    <w:rsid w:val="00175868"/>
    <w:rsid w:val="001761CE"/>
    <w:rsid w:val="00176D75"/>
    <w:rsid w:val="00177649"/>
    <w:rsid w:val="001777B6"/>
    <w:rsid w:val="00177AD6"/>
    <w:rsid w:val="00177BE3"/>
    <w:rsid w:val="00177E5B"/>
    <w:rsid w:val="00180179"/>
    <w:rsid w:val="00180593"/>
    <w:rsid w:val="001805C6"/>
    <w:rsid w:val="0018174A"/>
    <w:rsid w:val="0018197D"/>
    <w:rsid w:val="00181C38"/>
    <w:rsid w:val="00181CAE"/>
    <w:rsid w:val="00181CB1"/>
    <w:rsid w:val="00182184"/>
    <w:rsid w:val="00182479"/>
    <w:rsid w:val="001824B2"/>
    <w:rsid w:val="00182A1B"/>
    <w:rsid w:val="00183477"/>
    <w:rsid w:val="00183FDC"/>
    <w:rsid w:val="00184281"/>
    <w:rsid w:val="001843EA"/>
    <w:rsid w:val="001849FF"/>
    <w:rsid w:val="00184BA3"/>
    <w:rsid w:val="001852CC"/>
    <w:rsid w:val="00185AB9"/>
    <w:rsid w:val="00185B4E"/>
    <w:rsid w:val="00186988"/>
    <w:rsid w:val="00187166"/>
    <w:rsid w:val="00190E1B"/>
    <w:rsid w:val="00191183"/>
    <w:rsid w:val="001911D0"/>
    <w:rsid w:val="00191D08"/>
    <w:rsid w:val="001931BA"/>
    <w:rsid w:val="001931D1"/>
    <w:rsid w:val="00193241"/>
    <w:rsid w:val="0019358A"/>
    <w:rsid w:val="0019381E"/>
    <w:rsid w:val="0019430B"/>
    <w:rsid w:val="00194C40"/>
    <w:rsid w:val="00194C57"/>
    <w:rsid w:val="00195A8C"/>
    <w:rsid w:val="00195D6F"/>
    <w:rsid w:val="00195EFF"/>
    <w:rsid w:val="001961F0"/>
    <w:rsid w:val="001969C3"/>
    <w:rsid w:val="00196CB7"/>
    <w:rsid w:val="00196CEF"/>
    <w:rsid w:val="00196F21"/>
    <w:rsid w:val="00197250"/>
    <w:rsid w:val="001A0084"/>
    <w:rsid w:val="001A03D8"/>
    <w:rsid w:val="001A03E6"/>
    <w:rsid w:val="001A12E7"/>
    <w:rsid w:val="001A178A"/>
    <w:rsid w:val="001A2CCC"/>
    <w:rsid w:val="001A3081"/>
    <w:rsid w:val="001A4611"/>
    <w:rsid w:val="001A57D1"/>
    <w:rsid w:val="001A5BB5"/>
    <w:rsid w:val="001A5C98"/>
    <w:rsid w:val="001A5EC1"/>
    <w:rsid w:val="001A6322"/>
    <w:rsid w:val="001A682D"/>
    <w:rsid w:val="001A698A"/>
    <w:rsid w:val="001A6CC5"/>
    <w:rsid w:val="001A7EA6"/>
    <w:rsid w:val="001B01A9"/>
    <w:rsid w:val="001B045C"/>
    <w:rsid w:val="001B260D"/>
    <w:rsid w:val="001B2920"/>
    <w:rsid w:val="001B31C0"/>
    <w:rsid w:val="001B33C6"/>
    <w:rsid w:val="001B39C0"/>
    <w:rsid w:val="001B3AED"/>
    <w:rsid w:val="001B4878"/>
    <w:rsid w:val="001B4B87"/>
    <w:rsid w:val="001B55D8"/>
    <w:rsid w:val="001B5772"/>
    <w:rsid w:val="001B5A70"/>
    <w:rsid w:val="001B5C59"/>
    <w:rsid w:val="001B745F"/>
    <w:rsid w:val="001B75CA"/>
    <w:rsid w:val="001B7BE2"/>
    <w:rsid w:val="001B7C23"/>
    <w:rsid w:val="001B7DCA"/>
    <w:rsid w:val="001C182E"/>
    <w:rsid w:val="001C1EE5"/>
    <w:rsid w:val="001C200B"/>
    <w:rsid w:val="001C254D"/>
    <w:rsid w:val="001C3660"/>
    <w:rsid w:val="001C3D33"/>
    <w:rsid w:val="001C57CF"/>
    <w:rsid w:val="001C6B8C"/>
    <w:rsid w:val="001C6E5E"/>
    <w:rsid w:val="001C7492"/>
    <w:rsid w:val="001D3248"/>
    <w:rsid w:val="001D3356"/>
    <w:rsid w:val="001D3895"/>
    <w:rsid w:val="001D392F"/>
    <w:rsid w:val="001D518E"/>
    <w:rsid w:val="001D526A"/>
    <w:rsid w:val="001D542C"/>
    <w:rsid w:val="001D559E"/>
    <w:rsid w:val="001D5B38"/>
    <w:rsid w:val="001D5C69"/>
    <w:rsid w:val="001D785F"/>
    <w:rsid w:val="001D7C62"/>
    <w:rsid w:val="001E010F"/>
    <w:rsid w:val="001E0152"/>
    <w:rsid w:val="001E01BD"/>
    <w:rsid w:val="001E098A"/>
    <w:rsid w:val="001E15F8"/>
    <w:rsid w:val="001E1C23"/>
    <w:rsid w:val="001E1F18"/>
    <w:rsid w:val="001E2A72"/>
    <w:rsid w:val="001E2E64"/>
    <w:rsid w:val="001E3C49"/>
    <w:rsid w:val="001E3DC8"/>
    <w:rsid w:val="001E47FA"/>
    <w:rsid w:val="001E5013"/>
    <w:rsid w:val="001E51A9"/>
    <w:rsid w:val="001E55A2"/>
    <w:rsid w:val="001E71AB"/>
    <w:rsid w:val="001E7DC7"/>
    <w:rsid w:val="001F032C"/>
    <w:rsid w:val="001F0B7F"/>
    <w:rsid w:val="001F0D2F"/>
    <w:rsid w:val="001F100F"/>
    <w:rsid w:val="001F1307"/>
    <w:rsid w:val="001F13A7"/>
    <w:rsid w:val="001F16DD"/>
    <w:rsid w:val="001F1D5A"/>
    <w:rsid w:val="001F2265"/>
    <w:rsid w:val="001F2927"/>
    <w:rsid w:val="001F32C5"/>
    <w:rsid w:val="001F38DF"/>
    <w:rsid w:val="001F4328"/>
    <w:rsid w:val="001F439F"/>
    <w:rsid w:val="001F6555"/>
    <w:rsid w:val="001F7418"/>
    <w:rsid w:val="0020094D"/>
    <w:rsid w:val="00200AC6"/>
    <w:rsid w:val="00200B26"/>
    <w:rsid w:val="00200D4F"/>
    <w:rsid w:val="00201183"/>
    <w:rsid w:val="002012FB"/>
    <w:rsid w:val="002018D4"/>
    <w:rsid w:val="0020233C"/>
    <w:rsid w:val="00202382"/>
    <w:rsid w:val="00202631"/>
    <w:rsid w:val="00202A98"/>
    <w:rsid w:val="0020375E"/>
    <w:rsid w:val="0020384B"/>
    <w:rsid w:val="002038F7"/>
    <w:rsid w:val="00204407"/>
    <w:rsid w:val="00204611"/>
    <w:rsid w:val="00204828"/>
    <w:rsid w:val="00204F86"/>
    <w:rsid w:val="0020609A"/>
    <w:rsid w:val="00206733"/>
    <w:rsid w:val="00206B01"/>
    <w:rsid w:val="00207B35"/>
    <w:rsid w:val="00207EB4"/>
    <w:rsid w:val="00210469"/>
    <w:rsid w:val="002109BF"/>
    <w:rsid w:val="00212DDB"/>
    <w:rsid w:val="002132CB"/>
    <w:rsid w:val="002135A7"/>
    <w:rsid w:val="00214305"/>
    <w:rsid w:val="002156CD"/>
    <w:rsid w:val="00215DAA"/>
    <w:rsid w:val="00216381"/>
    <w:rsid w:val="00217A16"/>
    <w:rsid w:val="00217E16"/>
    <w:rsid w:val="002207BA"/>
    <w:rsid w:val="00221072"/>
    <w:rsid w:val="00222742"/>
    <w:rsid w:val="002229CA"/>
    <w:rsid w:val="00222FE7"/>
    <w:rsid w:val="0022337B"/>
    <w:rsid w:val="00225501"/>
    <w:rsid w:val="0022602F"/>
    <w:rsid w:val="00226318"/>
    <w:rsid w:val="00226B1E"/>
    <w:rsid w:val="00227707"/>
    <w:rsid w:val="002303C8"/>
    <w:rsid w:val="002304A4"/>
    <w:rsid w:val="00230A93"/>
    <w:rsid w:val="00230BE9"/>
    <w:rsid w:val="00230BEF"/>
    <w:rsid w:val="002319BC"/>
    <w:rsid w:val="00231AD1"/>
    <w:rsid w:val="00232033"/>
    <w:rsid w:val="00233E76"/>
    <w:rsid w:val="002341CF"/>
    <w:rsid w:val="00234B36"/>
    <w:rsid w:val="002355AE"/>
    <w:rsid w:val="002358FE"/>
    <w:rsid w:val="002366BB"/>
    <w:rsid w:val="00236730"/>
    <w:rsid w:val="002372A0"/>
    <w:rsid w:val="00237603"/>
    <w:rsid w:val="00240037"/>
    <w:rsid w:val="00241258"/>
    <w:rsid w:val="00241488"/>
    <w:rsid w:val="002418A2"/>
    <w:rsid w:val="00241F6C"/>
    <w:rsid w:val="002424B3"/>
    <w:rsid w:val="00242E60"/>
    <w:rsid w:val="0024481B"/>
    <w:rsid w:val="00244AEB"/>
    <w:rsid w:val="00245454"/>
    <w:rsid w:val="00245BCA"/>
    <w:rsid w:val="00245C2C"/>
    <w:rsid w:val="00246075"/>
    <w:rsid w:val="002461D8"/>
    <w:rsid w:val="0024621E"/>
    <w:rsid w:val="00247E74"/>
    <w:rsid w:val="0025004D"/>
    <w:rsid w:val="002501C3"/>
    <w:rsid w:val="0025051E"/>
    <w:rsid w:val="00250648"/>
    <w:rsid w:val="00251266"/>
    <w:rsid w:val="00251669"/>
    <w:rsid w:val="00251BA4"/>
    <w:rsid w:val="00252BF2"/>
    <w:rsid w:val="0025327C"/>
    <w:rsid w:val="0025335F"/>
    <w:rsid w:val="00253CA3"/>
    <w:rsid w:val="0025403C"/>
    <w:rsid w:val="00254E8E"/>
    <w:rsid w:val="00255711"/>
    <w:rsid w:val="002557BF"/>
    <w:rsid w:val="00255D93"/>
    <w:rsid w:val="00255F3C"/>
    <w:rsid w:val="00256872"/>
    <w:rsid w:val="00257898"/>
    <w:rsid w:val="002578DE"/>
    <w:rsid w:val="0026009D"/>
    <w:rsid w:val="002608E9"/>
    <w:rsid w:val="00260AA9"/>
    <w:rsid w:val="00260B1D"/>
    <w:rsid w:val="00261C52"/>
    <w:rsid w:val="00261FBF"/>
    <w:rsid w:val="00262C5D"/>
    <w:rsid w:val="00262E38"/>
    <w:rsid w:val="00262EF7"/>
    <w:rsid w:val="00263261"/>
    <w:rsid w:val="00263281"/>
    <w:rsid w:val="0026361E"/>
    <w:rsid w:val="002654D4"/>
    <w:rsid w:val="00265A47"/>
    <w:rsid w:val="00265BC1"/>
    <w:rsid w:val="00265EAE"/>
    <w:rsid w:val="002660EA"/>
    <w:rsid w:val="00266A51"/>
    <w:rsid w:val="00266CFD"/>
    <w:rsid w:val="0026775E"/>
    <w:rsid w:val="00267902"/>
    <w:rsid w:val="0026798E"/>
    <w:rsid w:val="00267AFC"/>
    <w:rsid w:val="00267B4B"/>
    <w:rsid w:val="00267EDE"/>
    <w:rsid w:val="0027031C"/>
    <w:rsid w:val="0027073E"/>
    <w:rsid w:val="002708EB"/>
    <w:rsid w:val="00270AEB"/>
    <w:rsid w:val="00270BD2"/>
    <w:rsid w:val="0027137C"/>
    <w:rsid w:val="002718F9"/>
    <w:rsid w:val="00271931"/>
    <w:rsid w:val="0027269C"/>
    <w:rsid w:val="00273C52"/>
    <w:rsid w:val="00275D82"/>
    <w:rsid w:val="00276416"/>
    <w:rsid w:val="00276814"/>
    <w:rsid w:val="002769C8"/>
    <w:rsid w:val="00276DEF"/>
    <w:rsid w:val="002775AF"/>
    <w:rsid w:val="00280F51"/>
    <w:rsid w:val="002812BB"/>
    <w:rsid w:val="00281724"/>
    <w:rsid w:val="00282941"/>
    <w:rsid w:val="00283441"/>
    <w:rsid w:val="00283D06"/>
    <w:rsid w:val="002847AB"/>
    <w:rsid w:val="00284AA7"/>
    <w:rsid w:val="00284E43"/>
    <w:rsid w:val="00285284"/>
    <w:rsid w:val="00285331"/>
    <w:rsid w:val="002856DA"/>
    <w:rsid w:val="00285D48"/>
    <w:rsid w:val="00285D97"/>
    <w:rsid w:val="00285DEC"/>
    <w:rsid w:val="00285E1F"/>
    <w:rsid w:val="00286260"/>
    <w:rsid w:val="002866C6"/>
    <w:rsid w:val="00286C3F"/>
    <w:rsid w:val="00287AD9"/>
    <w:rsid w:val="0029038F"/>
    <w:rsid w:val="00290C01"/>
    <w:rsid w:val="00290F98"/>
    <w:rsid w:val="00291FB5"/>
    <w:rsid w:val="00292A36"/>
    <w:rsid w:val="00292B80"/>
    <w:rsid w:val="0029414F"/>
    <w:rsid w:val="00294459"/>
    <w:rsid w:val="00294533"/>
    <w:rsid w:val="002948E8"/>
    <w:rsid w:val="00294B87"/>
    <w:rsid w:val="00295AD4"/>
    <w:rsid w:val="002967EE"/>
    <w:rsid w:val="002971CF"/>
    <w:rsid w:val="00297748"/>
    <w:rsid w:val="00297A36"/>
    <w:rsid w:val="00297EFE"/>
    <w:rsid w:val="002A0F9A"/>
    <w:rsid w:val="002A0FC7"/>
    <w:rsid w:val="002A1D23"/>
    <w:rsid w:val="002A2EE6"/>
    <w:rsid w:val="002A308F"/>
    <w:rsid w:val="002A3197"/>
    <w:rsid w:val="002A38F5"/>
    <w:rsid w:val="002A3C02"/>
    <w:rsid w:val="002A43C2"/>
    <w:rsid w:val="002A4DD5"/>
    <w:rsid w:val="002A63C9"/>
    <w:rsid w:val="002A71D5"/>
    <w:rsid w:val="002A79F5"/>
    <w:rsid w:val="002A7F88"/>
    <w:rsid w:val="002B1507"/>
    <w:rsid w:val="002B2DB6"/>
    <w:rsid w:val="002B3802"/>
    <w:rsid w:val="002B3835"/>
    <w:rsid w:val="002B3DFC"/>
    <w:rsid w:val="002B432D"/>
    <w:rsid w:val="002B453E"/>
    <w:rsid w:val="002B4AD2"/>
    <w:rsid w:val="002B4E30"/>
    <w:rsid w:val="002B520D"/>
    <w:rsid w:val="002B5E51"/>
    <w:rsid w:val="002B5EF9"/>
    <w:rsid w:val="002B6C13"/>
    <w:rsid w:val="002B6D81"/>
    <w:rsid w:val="002B73C3"/>
    <w:rsid w:val="002B7B14"/>
    <w:rsid w:val="002B7BDE"/>
    <w:rsid w:val="002B7D31"/>
    <w:rsid w:val="002B7EE9"/>
    <w:rsid w:val="002C1EF9"/>
    <w:rsid w:val="002C2BE8"/>
    <w:rsid w:val="002C4EC9"/>
    <w:rsid w:val="002C4EE1"/>
    <w:rsid w:val="002C52BE"/>
    <w:rsid w:val="002C5500"/>
    <w:rsid w:val="002C6836"/>
    <w:rsid w:val="002C6994"/>
    <w:rsid w:val="002C69D8"/>
    <w:rsid w:val="002C6DB8"/>
    <w:rsid w:val="002C714F"/>
    <w:rsid w:val="002C7C18"/>
    <w:rsid w:val="002C7CDE"/>
    <w:rsid w:val="002C7CE5"/>
    <w:rsid w:val="002C7E67"/>
    <w:rsid w:val="002C7F02"/>
    <w:rsid w:val="002D00E5"/>
    <w:rsid w:val="002D075B"/>
    <w:rsid w:val="002D159A"/>
    <w:rsid w:val="002D1BD6"/>
    <w:rsid w:val="002D1D0C"/>
    <w:rsid w:val="002D2CE8"/>
    <w:rsid w:val="002D2EFD"/>
    <w:rsid w:val="002D30C7"/>
    <w:rsid w:val="002D3648"/>
    <w:rsid w:val="002D4369"/>
    <w:rsid w:val="002D54F7"/>
    <w:rsid w:val="002D5B22"/>
    <w:rsid w:val="002D5BAA"/>
    <w:rsid w:val="002D5BED"/>
    <w:rsid w:val="002D5FF0"/>
    <w:rsid w:val="002D6B31"/>
    <w:rsid w:val="002D7A52"/>
    <w:rsid w:val="002D7D15"/>
    <w:rsid w:val="002E014D"/>
    <w:rsid w:val="002E04F7"/>
    <w:rsid w:val="002E07A2"/>
    <w:rsid w:val="002E0F53"/>
    <w:rsid w:val="002E1CA8"/>
    <w:rsid w:val="002E233D"/>
    <w:rsid w:val="002E2B6E"/>
    <w:rsid w:val="002E2BF6"/>
    <w:rsid w:val="002E2CEA"/>
    <w:rsid w:val="002E3140"/>
    <w:rsid w:val="002E347A"/>
    <w:rsid w:val="002E396B"/>
    <w:rsid w:val="002E3C2B"/>
    <w:rsid w:val="002E47B5"/>
    <w:rsid w:val="002E495E"/>
    <w:rsid w:val="002E4A6B"/>
    <w:rsid w:val="002E4F28"/>
    <w:rsid w:val="002E5B13"/>
    <w:rsid w:val="002E6161"/>
    <w:rsid w:val="002E620A"/>
    <w:rsid w:val="002E6339"/>
    <w:rsid w:val="002E640C"/>
    <w:rsid w:val="002E68CA"/>
    <w:rsid w:val="002E7637"/>
    <w:rsid w:val="002F032B"/>
    <w:rsid w:val="002F0B30"/>
    <w:rsid w:val="002F0F5E"/>
    <w:rsid w:val="002F1055"/>
    <w:rsid w:val="002F14B7"/>
    <w:rsid w:val="002F2274"/>
    <w:rsid w:val="002F318F"/>
    <w:rsid w:val="002F31D5"/>
    <w:rsid w:val="002F4313"/>
    <w:rsid w:val="002F49F0"/>
    <w:rsid w:val="002F4E2E"/>
    <w:rsid w:val="002F58B6"/>
    <w:rsid w:val="002F5C93"/>
    <w:rsid w:val="002F5DCA"/>
    <w:rsid w:val="002F6FD3"/>
    <w:rsid w:val="002F769C"/>
    <w:rsid w:val="002F786D"/>
    <w:rsid w:val="002F7D4D"/>
    <w:rsid w:val="00300C1A"/>
    <w:rsid w:val="00300E9E"/>
    <w:rsid w:val="003015A1"/>
    <w:rsid w:val="0030171A"/>
    <w:rsid w:val="0030173B"/>
    <w:rsid w:val="0030216A"/>
    <w:rsid w:val="00304B03"/>
    <w:rsid w:val="00306706"/>
    <w:rsid w:val="003075C6"/>
    <w:rsid w:val="00310624"/>
    <w:rsid w:val="0031088C"/>
    <w:rsid w:val="00311718"/>
    <w:rsid w:val="00312565"/>
    <w:rsid w:val="0031265C"/>
    <w:rsid w:val="00312A01"/>
    <w:rsid w:val="00312E12"/>
    <w:rsid w:val="003132FB"/>
    <w:rsid w:val="003132FE"/>
    <w:rsid w:val="00313FF5"/>
    <w:rsid w:val="0031474D"/>
    <w:rsid w:val="00314751"/>
    <w:rsid w:val="00314B1A"/>
    <w:rsid w:val="00315077"/>
    <w:rsid w:val="00315910"/>
    <w:rsid w:val="0031594C"/>
    <w:rsid w:val="003161D9"/>
    <w:rsid w:val="00316223"/>
    <w:rsid w:val="003168B4"/>
    <w:rsid w:val="0031740C"/>
    <w:rsid w:val="003204BE"/>
    <w:rsid w:val="0032052C"/>
    <w:rsid w:val="00320682"/>
    <w:rsid w:val="003208F7"/>
    <w:rsid w:val="00320E41"/>
    <w:rsid w:val="00320E60"/>
    <w:rsid w:val="00321515"/>
    <w:rsid w:val="003219E5"/>
    <w:rsid w:val="00321F1B"/>
    <w:rsid w:val="00322A99"/>
    <w:rsid w:val="00322CD0"/>
    <w:rsid w:val="00323689"/>
    <w:rsid w:val="00324AED"/>
    <w:rsid w:val="003253A7"/>
    <w:rsid w:val="00327FAE"/>
    <w:rsid w:val="00330F83"/>
    <w:rsid w:val="00331C2A"/>
    <w:rsid w:val="003326C3"/>
    <w:rsid w:val="00332CBC"/>
    <w:rsid w:val="00334757"/>
    <w:rsid w:val="00334DD7"/>
    <w:rsid w:val="003354B3"/>
    <w:rsid w:val="00335A17"/>
    <w:rsid w:val="0033642D"/>
    <w:rsid w:val="003366B5"/>
    <w:rsid w:val="003369D6"/>
    <w:rsid w:val="00336CD1"/>
    <w:rsid w:val="00337BA1"/>
    <w:rsid w:val="003400AE"/>
    <w:rsid w:val="003411BD"/>
    <w:rsid w:val="0034128A"/>
    <w:rsid w:val="0034196B"/>
    <w:rsid w:val="00341C1C"/>
    <w:rsid w:val="00343225"/>
    <w:rsid w:val="0034335C"/>
    <w:rsid w:val="00343EC4"/>
    <w:rsid w:val="003443BB"/>
    <w:rsid w:val="00344707"/>
    <w:rsid w:val="00344AE8"/>
    <w:rsid w:val="00344C12"/>
    <w:rsid w:val="00344D2A"/>
    <w:rsid w:val="00346159"/>
    <w:rsid w:val="003467FD"/>
    <w:rsid w:val="003470EE"/>
    <w:rsid w:val="00347946"/>
    <w:rsid w:val="003518F3"/>
    <w:rsid w:val="00352903"/>
    <w:rsid w:val="00352B00"/>
    <w:rsid w:val="00352B24"/>
    <w:rsid w:val="003531D5"/>
    <w:rsid w:val="00353DB6"/>
    <w:rsid w:val="003543C5"/>
    <w:rsid w:val="00354E68"/>
    <w:rsid w:val="00354E6C"/>
    <w:rsid w:val="003550D0"/>
    <w:rsid w:val="0035542A"/>
    <w:rsid w:val="0035557D"/>
    <w:rsid w:val="003557BD"/>
    <w:rsid w:val="003560D0"/>
    <w:rsid w:val="00356467"/>
    <w:rsid w:val="003565C7"/>
    <w:rsid w:val="0036112F"/>
    <w:rsid w:val="00362046"/>
    <w:rsid w:val="00362432"/>
    <w:rsid w:val="00362A79"/>
    <w:rsid w:val="00362D44"/>
    <w:rsid w:val="00363ADA"/>
    <w:rsid w:val="003648AA"/>
    <w:rsid w:val="00365374"/>
    <w:rsid w:val="003657B7"/>
    <w:rsid w:val="00367139"/>
    <w:rsid w:val="00367939"/>
    <w:rsid w:val="00370C9B"/>
    <w:rsid w:val="00370E0C"/>
    <w:rsid w:val="00371AB5"/>
    <w:rsid w:val="00373C48"/>
    <w:rsid w:val="003742E4"/>
    <w:rsid w:val="00374642"/>
    <w:rsid w:val="00374A91"/>
    <w:rsid w:val="00376DB6"/>
    <w:rsid w:val="00377127"/>
    <w:rsid w:val="00380C2B"/>
    <w:rsid w:val="003812A1"/>
    <w:rsid w:val="00382629"/>
    <w:rsid w:val="0038276A"/>
    <w:rsid w:val="00382F40"/>
    <w:rsid w:val="0038396C"/>
    <w:rsid w:val="00383B38"/>
    <w:rsid w:val="00383B74"/>
    <w:rsid w:val="00383FCF"/>
    <w:rsid w:val="003845CD"/>
    <w:rsid w:val="003847D4"/>
    <w:rsid w:val="00384FC5"/>
    <w:rsid w:val="00385230"/>
    <w:rsid w:val="00385DC8"/>
    <w:rsid w:val="00385F19"/>
    <w:rsid w:val="0038607D"/>
    <w:rsid w:val="00386B0B"/>
    <w:rsid w:val="00386BDB"/>
    <w:rsid w:val="00386CA7"/>
    <w:rsid w:val="003874B8"/>
    <w:rsid w:val="003876D9"/>
    <w:rsid w:val="0039070D"/>
    <w:rsid w:val="0039092A"/>
    <w:rsid w:val="00390BD1"/>
    <w:rsid w:val="00391385"/>
    <w:rsid w:val="00391761"/>
    <w:rsid w:val="00391BC0"/>
    <w:rsid w:val="003925E8"/>
    <w:rsid w:val="0039292C"/>
    <w:rsid w:val="00392FC6"/>
    <w:rsid w:val="0039303F"/>
    <w:rsid w:val="00393148"/>
    <w:rsid w:val="00393216"/>
    <w:rsid w:val="00394BCB"/>
    <w:rsid w:val="00396C9F"/>
    <w:rsid w:val="003974CA"/>
    <w:rsid w:val="003976CE"/>
    <w:rsid w:val="00397A18"/>
    <w:rsid w:val="00397B1A"/>
    <w:rsid w:val="00397B44"/>
    <w:rsid w:val="00397C3F"/>
    <w:rsid w:val="00397D80"/>
    <w:rsid w:val="00397F9F"/>
    <w:rsid w:val="003A0034"/>
    <w:rsid w:val="003A0413"/>
    <w:rsid w:val="003A0836"/>
    <w:rsid w:val="003A19EB"/>
    <w:rsid w:val="003A274C"/>
    <w:rsid w:val="003A27CB"/>
    <w:rsid w:val="003A2B7D"/>
    <w:rsid w:val="003A2D90"/>
    <w:rsid w:val="003A2EA3"/>
    <w:rsid w:val="003A335B"/>
    <w:rsid w:val="003A370D"/>
    <w:rsid w:val="003A3E91"/>
    <w:rsid w:val="003A3F2F"/>
    <w:rsid w:val="003A4FAF"/>
    <w:rsid w:val="003A4FD0"/>
    <w:rsid w:val="003A5FA3"/>
    <w:rsid w:val="003B0221"/>
    <w:rsid w:val="003B039F"/>
    <w:rsid w:val="003B10BA"/>
    <w:rsid w:val="003B1556"/>
    <w:rsid w:val="003B2B6C"/>
    <w:rsid w:val="003B2B79"/>
    <w:rsid w:val="003B2CEA"/>
    <w:rsid w:val="003B4070"/>
    <w:rsid w:val="003B4C52"/>
    <w:rsid w:val="003B6D20"/>
    <w:rsid w:val="003C1177"/>
    <w:rsid w:val="003C1ADC"/>
    <w:rsid w:val="003C2802"/>
    <w:rsid w:val="003C47BF"/>
    <w:rsid w:val="003C4AB6"/>
    <w:rsid w:val="003C511E"/>
    <w:rsid w:val="003C533A"/>
    <w:rsid w:val="003C579C"/>
    <w:rsid w:val="003C5A88"/>
    <w:rsid w:val="003C5DCA"/>
    <w:rsid w:val="003C706E"/>
    <w:rsid w:val="003C79B4"/>
    <w:rsid w:val="003D04EA"/>
    <w:rsid w:val="003D10C5"/>
    <w:rsid w:val="003D1276"/>
    <w:rsid w:val="003D15CC"/>
    <w:rsid w:val="003D167F"/>
    <w:rsid w:val="003D1B35"/>
    <w:rsid w:val="003D1E5F"/>
    <w:rsid w:val="003D2252"/>
    <w:rsid w:val="003D252A"/>
    <w:rsid w:val="003D2632"/>
    <w:rsid w:val="003D3C12"/>
    <w:rsid w:val="003D5446"/>
    <w:rsid w:val="003E081F"/>
    <w:rsid w:val="003E0B65"/>
    <w:rsid w:val="003E0BD9"/>
    <w:rsid w:val="003E0CD8"/>
    <w:rsid w:val="003E1378"/>
    <w:rsid w:val="003E225C"/>
    <w:rsid w:val="003E22D4"/>
    <w:rsid w:val="003E2413"/>
    <w:rsid w:val="003E2709"/>
    <w:rsid w:val="003E2817"/>
    <w:rsid w:val="003E2D89"/>
    <w:rsid w:val="003E2DC7"/>
    <w:rsid w:val="003E2F1E"/>
    <w:rsid w:val="003E32F9"/>
    <w:rsid w:val="003E3451"/>
    <w:rsid w:val="003E4006"/>
    <w:rsid w:val="003E41CA"/>
    <w:rsid w:val="003E4695"/>
    <w:rsid w:val="003E515C"/>
    <w:rsid w:val="003E5C31"/>
    <w:rsid w:val="003E5EF7"/>
    <w:rsid w:val="003E686D"/>
    <w:rsid w:val="003E76D6"/>
    <w:rsid w:val="003E7A81"/>
    <w:rsid w:val="003F0048"/>
    <w:rsid w:val="003F0433"/>
    <w:rsid w:val="003F1C9A"/>
    <w:rsid w:val="003F1D33"/>
    <w:rsid w:val="003F27D0"/>
    <w:rsid w:val="003F29D6"/>
    <w:rsid w:val="003F2C16"/>
    <w:rsid w:val="003F3028"/>
    <w:rsid w:val="003F32AB"/>
    <w:rsid w:val="003F3302"/>
    <w:rsid w:val="003F337D"/>
    <w:rsid w:val="003F3DDA"/>
    <w:rsid w:val="003F3ED7"/>
    <w:rsid w:val="003F3EED"/>
    <w:rsid w:val="003F4695"/>
    <w:rsid w:val="003F491E"/>
    <w:rsid w:val="003F540A"/>
    <w:rsid w:val="003F55DC"/>
    <w:rsid w:val="003F61F8"/>
    <w:rsid w:val="003F6423"/>
    <w:rsid w:val="003F67B0"/>
    <w:rsid w:val="003F7BE6"/>
    <w:rsid w:val="003F7FC1"/>
    <w:rsid w:val="004000F4"/>
    <w:rsid w:val="0040202C"/>
    <w:rsid w:val="0040241A"/>
    <w:rsid w:val="0040282B"/>
    <w:rsid w:val="00402FCE"/>
    <w:rsid w:val="0040370F"/>
    <w:rsid w:val="004037FC"/>
    <w:rsid w:val="00403A27"/>
    <w:rsid w:val="00403D1E"/>
    <w:rsid w:val="00403ED0"/>
    <w:rsid w:val="004044C8"/>
    <w:rsid w:val="0040450A"/>
    <w:rsid w:val="00404594"/>
    <w:rsid w:val="00404A2E"/>
    <w:rsid w:val="00405200"/>
    <w:rsid w:val="004055D3"/>
    <w:rsid w:val="00405FA9"/>
    <w:rsid w:val="00405FB8"/>
    <w:rsid w:val="004066DE"/>
    <w:rsid w:val="0040727C"/>
    <w:rsid w:val="00410592"/>
    <w:rsid w:val="004106CD"/>
    <w:rsid w:val="00411B00"/>
    <w:rsid w:val="00412A23"/>
    <w:rsid w:val="00413AFA"/>
    <w:rsid w:val="00413E49"/>
    <w:rsid w:val="00414204"/>
    <w:rsid w:val="00414400"/>
    <w:rsid w:val="00415099"/>
    <w:rsid w:val="00415E95"/>
    <w:rsid w:val="00415EBD"/>
    <w:rsid w:val="004161B7"/>
    <w:rsid w:val="00416D25"/>
    <w:rsid w:val="004176C3"/>
    <w:rsid w:val="00417991"/>
    <w:rsid w:val="004208B7"/>
    <w:rsid w:val="00420B01"/>
    <w:rsid w:val="00420E67"/>
    <w:rsid w:val="0042172D"/>
    <w:rsid w:val="00421B5D"/>
    <w:rsid w:val="004224DC"/>
    <w:rsid w:val="004236E8"/>
    <w:rsid w:val="0042387F"/>
    <w:rsid w:val="00423944"/>
    <w:rsid w:val="004242A9"/>
    <w:rsid w:val="00424AED"/>
    <w:rsid w:val="00424D31"/>
    <w:rsid w:val="00425C58"/>
    <w:rsid w:val="00425FB9"/>
    <w:rsid w:val="0042602A"/>
    <w:rsid w:val="0042633F"/>
    <w:rsid w:val="00426C23"/>
    <w:rsid w:val="00426EF6"/>
    <w:rsid w:val="004274B5"/>
    <w:rsid w:val="004308CF"/>
    <w:rsid w:val="0043159B"/>
    <w:rsid w:val="004316D0"/>
    <w:rsid w:val="0043198F"/>
    <w:rsid w:val="004322D7"/>
    <w:rsid w:val="004323AA"/>
    <w:rsid w:val="004329EB"/>
    <w:rsid w:val="00432F6F"/>
    <w:rsid w:val="0043307F"/>
    <w:rsid w:val="00433960"/>
    <w:rsid w:val="00433D19"/>
    <w:rsid w:val="00434A55"/>
    <w:rsid w:val="00434B30"/>
    <w:rsid w:val="00434F73"/>
    <w:rsid w:val="00435357"/>
    <w:rsid w:val="0043565C"/>
    <w:rsid w:val="00436307"/>
    <w:rsid w:val="00436B5D"/>
    <w:rsid w:val="00436CD3"/>
    <w:rsid w:val="00437A8B"/>
    <w:rsid w:val="00437E0E"/>
    <w:rsid w:val="0044038B"/>
    <w:rsid w:val="00440779"/>
    <w:rsid w:val="00440D49"/>
    <w:rsid w:val="0044141D"/>
    <w:rsid w:val="004415D2"/>
    <w:rsid w:val="00441FC5"/>
    <w:rsid w:val="00441FF6"/>
    <w:rsid w:val="004422FB"/>
    <w:rsid w:val="00442D43"/>
    <w:rsid w:val="00443009"/>
    <w:rsid w:val="004451CB"/>
    <w:rsid w:val="00445B68"/>
    <w:rsid w:val="00446306"/>
    <w:rsid w:val="0044656A"/>
    <w:rsid w:val="00446D6E"/>
    <w:rsid w:val="00447A4C"/>
    <w:rsid w:val="00447DA6"/>
    <w:rsid w:val="00450E17"/>
    <w:rsid w:val="00450F74"/>
    <w:rsid w:val="00450F7A"/>
    <w:rsid w:val="00451339"/>
    <w:rsid w:val="00451492"/>
    <w:rsid w:val="004522B7"/>
    <w:rsid w:val="0045273D"/>
    <w:rsid w:val="00452942"/>
    <w:rsid w:val="004534C5"/>
    <w:rsid w:val="00453E4D"/>
    <w:rsid w:val="004547AC"/>
    <w:rsid w:val="00454AAC"/>
    <w:rsid w:val="00455457"/>
    <w:rsid w:val="0045565B"/>
    <w:rsid w:val="00455974"/>
    <w:rsid w:val="00456A0F"/>
    <w:rsid w:val="00456A6C"/>
    <w:rsid w:val="00460A94"/>
    <w:rsid w:val="004613D2"/>
    <w:rsid w:val="00461B93"/>
    <w:rsid w:val="00462E1F"/>
    <w:rsid w:val="0046357D"/>
    <w:rsid w:val="00463CA9"/>
    <w:rsid w:val="00463F1C"/>
    <w:rsid w:val="00464BE2"/>
    <w:rsid w:val="00464ECF"/>
    <w:rsid w:val="004658B3"/>
    <w:rsid w:val="00466265"/>
    <w:rsid w:val="004669EE"/>
    <w:rsid w:val="004671D9"/>
    <w:rsid w:val="004677A6"/>
    <w:rsid w:val="004679B8"/>
    <w:rsid w:val="00470C80"/>
    <w:rsid w:val="00470F72"/>
    <w:rsid w:val="00471066"/>
    <w:rsid w:val="00471177"/>
    <w:rsid w:val="004716E6"/>
    <w:rsid w:val="00472AF5"/>
    <w:rsid w:val="004730C5"/>
    <w:rsid w:val="00474647"/>
    <w:rsid w:val="004759DF"/>
    <w:rsid w:val="00475E3B"/>
    <w:rsid w:val="00476895"/>
    <w:rsid w:val="00476A9B"/>
    <w:rsid w:val="00476C7B"/>
    <w:rsid w:val="00476D05"/>
    <w:rsid w:val="00476D3E"/>
    <w:rsid w:val="00477305"/>
    <w:rsid w:val="00477C9F"/>
    <w:rsid w:val="004809A2"/>
    <w:rsid w:val="00480CDB"/>
    <w:rsid w:val="00481416"/>
    <w:rsid w:val="00481D13"/>
    <w:rsid w:val="00482479"/>
    <w:rsid w:val="00482AE4"/>
    <w:rsid w:val="00482F01"/>
    <w:rsid w:val="00483832"/>
    <w:rsid w:val="0048387C"/>
    <w:rsid w:val="0048458D"/>
    <w:rsid w:val="0048468D"/>
    <w:rsid w:val="00484B31"/>
    <w:rsid w:val="00484C53"/>
    <w:rsid w:val="00484C5F"/>
    <w:rsid w:val="0048517B"/>
    <w:rsid w:val="00486E31"/>
    <w:rsid w:val="00487AB8"/>
    <w:rsid w:val="00487D6E"/>
    <w:rsid w:val="00490CAE"/>
    <w:rsid w:val="00490D1B"/>
    <w:rsid w:val="004926CF"/>
    <w:rsid w:val="00493002"/>
    <w:rsid w:val="00493A64"/>
    <w:rsid w:val="00494F5E"/>
    <w:rsid w:val="00495E5B"/>
    <w:rsid w:val="00495EE5"/>
    <w:rsid w:val="00495F35"/>
    <w:rsid w:val="00496943"/>
    <w:rsid w:val="00497019"/>
    <w:rsid w:val="00497902"/>
    <w:rsid w:val="004A05E3"/>
    <w:rsid w:val="004A1B33"/>
    <w:rsid w:val="004A22D6"/>
    <w:rsid w:val="004A23E1"/>
    <w:rsid w:val="004A29D0"/>
    <w:rsid w:val="004A2B3F"/>
    <w:rsid w:val="004A2D0F"/>
    <w:rsid w:val="004A3567"/>
    <w:rsid w:val="004A3868"/>
    <w:rsid w:val="004A3B49"/>
    <w:rsid w:val="004A3CD7"/>
    <w:rsid w:val="004A4148"/>
    <w:rsid w:val="004A4532"/>
    <w:rsid w:val="004A4C85"/>
    <w:rsid w:val="004A548F"/>
    <w:rsid w:val="004A5B5B"/>
    <w:rsid w:val="004A5FCA"/>
    <w:rsid w:val="004A6129"/>
    <w:rsid w:val="004A6260"/>
    <w:rsid w:val="004A66FF"/>
    <w:rsid w:val="004A6788"/>
    <w:rsid w:val="004A79D3"/>
    <w:rsid w:val="004B0511"/>
    <w:rsid w:val="004B092C"/>
    <w:rsid w:val="004B15C4"/>
    <w:rsid w:val="004B1D5D"/>
    <w:rsid w:val="004B1F3F"/>
    <w:rsid w:val="004B20D2"/>
    <w:rsid w:val="004B2611"/>
    <w:rsid w:val="004B2847"/>
    <w:rsid w:val="004B2BAA"/>
    <w:rsid w:val="004B2D24"/>
    <w:rsid w:val="004B2DA0"/>
    <w:rsid w:val="004B3031"/>
    <w:rsid w:val="004B3F29"/>
    <w:rsid w:val="004B4F68"/>
    <w:rsid w:val="004B5765"/>
    <w:rsid w:val="004B5B15"/>
    <w:rsid w:val="004B5D42"/>
    <w:rsid w:val="004B5D4C"/>
    <w:rsid w:val="004B66B1"/>
    <w:rsid w:val="004B67C3"/>
    <w:rsid w:val="004B6805"/>
    <w:rsid w:val="004B6C23"/>
    <w:rsid w:val="004B6CBC"/>
    <w:rsid w:val="004B70DA"/>
    <w:rsid w:val="004B75FF"/>
    <w:rsid w:val="004C0610"/>
    <w:rsid w:val="004C0E5C"/>
    <w:rsid w:val="004C1657"/>
    <w:rsid w:val="004C21AE"/>
    <w:rsid w:val="004C2B37"/>
    <w:rsid w:val="004C3C91"/>
    <w:rsid w:val="004C4146"/>
    <w:rsid w:val="004C5743"/>
    <w:rsid w:val="004C5C1E"/>
    <w:rsid w:val="004C6685"/>
    <w:rsid w:val="004C6969"/>
    <w:rsid w:val="004C6B08"/>
    <w:rsid w:val="004C7175"/>
    <w:rsid w:val="004C7B15"/>
    <w:rsid w:val="004C7D80"/>
    <w:rsid w:val="004D0095"/>
    <w:rsid w:val="004D13E1"/>
    <w:rsid w:val="004D1F78"/>
    <w:rsid w:val="004D26BE"/>
    <w:rsid w:val="004D31B3"/>
    <w:rsid w:val="004D321F"/>
    <w:rsid w:val="004D3D33"/>
    <w:rsid w:val="004D4788"/>
    <w:rsid w:val="004D4CCF"/>
    <w:rsid w:val="004D5FDF"/>
    <w:rsid w:val="004D608C"/>
    <w:rsid w:val="004D6ED3"/>
    <w:rsid w:val="004E05CA"/>
    <w:rsid w:val="004E0B7A"/>
    <w:rsid w:val="004E0D75"/>
    <w:rsid w:val="004E0F83"/>
    <w:rsid w:val="004E173B"/>
    <w:rsid w:val="004E18E7"/>
    <w:rsid w:val="004E1C11"/>
    <w:rsid w:val="004E1C6C"/>
    <w:rsid w:val="004E2548"/>
    <w:rsid w:val="004E2A58"/>
    <w:rsid w:val="004E3279"/>
    <w:rsid w:val="004E4458"/>
    <w:rsid w:val="004E4F01"/>
    <w:rsid w:val="004E5622"/>
    <w:rsid w:val="004E56E3"/>
    <w:rsid w:val="004E59C5"/>
    <w:rsid w:val="004E6FF9"/>
    <w:rsid w:val="004E715E"/>
    <w:rsid w:val="004E7507"/>
    <w:rsid w:val="004E7EE9"/>
    <w:rsid w:val="004F01AE"/>
    <w:rsid w:val="004F03E7"/>
    <w:rsid w:val="004F050E"/>
    <w:rsid w:val="004F1E72"/>
    <w:rsid w:val="004F23BE"/>
    <w:rsid w:val="004F4042"/>
    <w:rsid w:val="004F4251"/>
    <w:rsid w:val="004F466E"/>
    <w:rsid w:val="004F508E"/>
    <w:rsid w:val="004F513C"/>
    <w:rsid w:val="004F53E8"/>
    <w:rsid w:val="004F5523"/>
    <w:rsid w:val="004F6E73"/>
    <w:rsid w:val="004F764D"/>
    <w:rsid w:val="004F7889"/>
    <w:rsid w:val="00500EDA"/>
    <w:rsid w:val="005010E3"/>
    <w:rsid w:val="005011A0"/>
    <w:rsid w:val="005013E8"/>
    <w:rsid w:val="00501A82"/>
    <w:rsid w:val="00502E8F"/>
    <w:rsid w:val="00503951"/>
    <w:rsid w:val="0050436B"/>
    <w:rsid w:val="00504A95"/>
    <w:rsid w:val="00505849"/>
    <w:rsid w:val="00505E9E"/>
    <w:rsid w:val="005069E4"/>
    <w:rsid w:val="00506EEF"/>
    <w:rsid w:val="00507A8C"/>
    <w:rsid w:val="00507D1C"/>
    <w:rsid w:val="00507E49"/>
    <w:rsid w:val="00510508"/>
    <w:rsid w:val="00510605"/>
    <w:rsid w:val="00510857"/>
    <w:rsid w:val="0051090B"/>
    <w:rsid w:val="00510EA5"/>
    <w:rsid w:val="00511DAF"/>
    <w:rsid w:val="00512006"/>
    <w:rsid w:val="005121C2"/>
    <w:rsid w:val="00512679"/>
    <w:rsid w:val="005128AA"/>
    <w:rsid w:val="005129C2"/>
    <w:rsid w:val="00513896"/>
    <w:rsid w:val="005145F7"/>
    <w:rsid w:val="0051464D"/>
    <w:rsid w:val="005155EC"/>
    <w:rsid w:val="00515673"/>
    <w:rsid w:val="00516587"/>
    <w:rsid w:val="0051696D"/>
    <w:rsid w:val="00517960"/>
    <w:rsid w:val="00517A33"/>
    <w:rsid w:val="00517C41"/>
    <w:rsid w:val="00520762"/>
    <w:rsid w:val="00520944"/>
    <w:rsid w:val="00521016"/>
    <w:rsid w:val="005218BC"/>
    <w:rsid w:val="005227B3"/>
    <w:rsid w:val="00522DF7"/>
    <w:rsid w:val="0052326F"/>
    <w:rsid w:val="00523F2D"/>
    <w:rsid w:val="00524B76"/>
    <w:rsid w:val="0052509C"/>
    <w:rsid w:val="00525CE2"/>
    <w:rsid w:val="005271E3"/>
    <w:rsid w:val="005272F3"/>
    <w:rsid w:val="0052746F"/>
    <w:rsid w:val="0052795A"/>
    <w:rsid w:val="00527C22"/>
    <w:rsid w:val="00530749"/>
    <w:rsid w:val="005312D9"/>
    <w:rsid w:val="0053134E"/>
    <w:rsid w:val="00532D86"/>
    <w:rsid w:val="00532FF7"/>
    <w:rsid w:val="00533345"/>
    <w:rsid w:val="005336F1"/>
    <w:rsid w:val="0053370D"/>
    <w:rsid w:val="005344A5"/>
    <w:rsid w:val="00534980"/>
    <w:rsid w:val="00535068"/>
    <w:rsid w:val="0053557F"/>
    <w:rsid w:val="005359B9"/>
    <w:rsid w:val="00536010"/>
    <w:rsid w:val="0053680B"/>
    <w:rsid w:val="00536A76"/>
    <w:rsid w:val="00537146"/>
    <w:rsid w:val="00537745"/>
    <w:rsid w:val="005401C7"/>
    <w:rsid w:val="00540741"/>
    <w:rsid w:val="00540D51"/>
    <w:rsid w:val="00541A74"/>
    <w:rsid w:val="0054380C"/>
    <w:rsid w:val="00543BA1"/>
    <w:rsid w:val="00543E0B"/>
    <w:rsid w:val="00544A10"/>
    <w:rsid w:val="00544FA4"/>
    <w:rsid w:val="00545779"/>
    <w:rsid w:val="005459D7"/>
    <w:rsid w:val="00545DAE"/>
    <w:rsid w:val="00545F8F"/>
    <w:rsid w:val="0054692F"/>
    <w:rsid w:val="00546C8E"/>
    <w:rsid w:val="00547102"/>
    <w:rsid w:val="005501CD"/>
    <w:rsid w:val="005512FB"/>
    <w:rsid w:val="005520AF"/>
    <w:rsid w:val="00552B06"/>
    <w:rsid w:val="00552B1C"/>
    <w:rsid w:val="005537C0"/>
    <w:rsid w:val="005538F6"/>
    <w:rsid w:val="00553B81"/>
    <w:rsid w:val="00553E71"/>
    <w:rsid w:val="00554FED"/>
    <w:rsid w:val="00555AD9"/>
    <w:rsid w:val="005563ED"/>
    <w:rsid w:val="005568E0"/>
    <w:rsid w:val="00557CD5"/>
    <w:rsid w:val="00560F6C"/>
    <w:rsid w:val="00561539"/>
    <w:rsid w:val="005615F3"/>
    <w:rsid w:val="0056207F"/>
    <w:rsid w:val="00562213"/>
    <w:rsid w:val="00562696"/>
    <w:rsid w:val="00562AFD"/>
    <w:rsid w:val="00562B18"/>
    <w:rsid w:val="00562C39"/>
    <w:rsid w:val="00562CBD"/>
    <w:rsid w:val="005632F3"/>
    <w:rsid w:val="0056361C"/>
    <w:rsid w:val="00563F46"/>
    <w:rsid w:val="00564598"/>
    <w:rsid w:val="00564A9D"/>
    <w:rsid w:val="00564E2C"/>
    <w:rsid w:val="00565964"/>
    <w:rsid w:val="00565F26"/>
    <w:rsid w:val="005663F6"/>
    <w:rsid w:val="0056658A"/>
    <w:rsid w:val="005665B0"/>
    <w:rsid w:val="0056661C"/>
    <w:rsid w:val="00567927"/>
    <w:rsid w:val="00567F60"/>
    <w:rsid w:val="00570159"/>
    <w:rsid w:val="00570372"/>
    <w:rsid w:val="005705DA"/>
    <w:rsid w:val="00571FC5"/>
    <w:rsid w:val="005723A4"/>
    <w:rsid w:val="00572607"/>
    <w:rsid w:val="00572A55"/>
    <w:rsid w:val="00572BC4"/>
    <w:rsid w:val="00572BE8"/>
    <w:rsid w:val="0057332A"/>
    <w:rsid w:val="0057439D"/>
    <w:rsid w:val="00576CB1"/>
    <w:rsid w:val="00577A31"/>
    <w:rsid w:val="00577A78"/>
    <w:rsid w:val="00577AC5"/>
    <w:rsid w:val="00580438"/>
    <w:rsid w:val="00581593"/>
    <w:rsid w:val="0058211D"/>
    <w:rsid w:val="0058256F"/>
    <w:rsid w:val="0058261D"/>
    <w:rsid w:val="0058465E"/>
    <w:rsid w:val="00584A3C"/>
    <w:rsid w:val="00584EDC"/>
    <w:rsid w:val="00585199"/>
    <w:rsid w:val="005868C4"/>
    <w:rsid w:val="0058718F"/>
    <w:rsid w:val="00587C17"/>
    <w:rsid w:val="00587D8B"/>
    <w:rsid w:val="0059024A"/>
    <w:rsid w:val="005908B6"/>
    <w:rsid w:val="00590EAA"/>
    <w:rsid w:val="00591799"/>
    <w:rsid w:val="005929D2"/>
    <w:rsid w:val="0059351D"/>
    <w:rsid w:val="00593802"/>
    <w:rsid w:val="0059392E"/>
    <w:rsid w:val="00593E3D"/>
    <w:rsid w:val="005945D9"/>
    <w:rsid w:val="005946E9"/>
    <w:rsid w:val="00597718"/>
    <w:rsid w:val="005A12F0"/>
    <w:rsid w:val="005A13AB"/>
    <w:rsid w:val="005A1B39"/>
    <w:rsid w:val="005A2BD6"/>
    <w:rsid w:val="005A31EA"/>
    <w:rsid w:val="005A40B5"/>
    <w:rsid w:val="005A549A"/>
    <w:rsid w:val="005A5D7F"/>
    <w:rsid w:val="005B0957"/>
    <w:rsid w:val="005B0A9A"/>
    <w:rsid w:val="005B0D4E"/>
    <w:rsid w:val="005B1E07"/>
    <w:rsid w:val="005B24E2"/>
    <w:rsid w:val="005B2B68"/>
    <w:rsid w:val="005B2F18"/>
    <w:rsid w:val="005B3434"/>
    <w:rsid w:val="005B4310"/>
    <w:rsid w:val="005B49C4"/>
    <w:rsid w:val="005B4AB7"/>
    <w:rsid w:val="005B4B5B"/>
    <w:rsid w:val="005B578D"/>
    <w:rsid w:val="005B5B88"/>
    <w:rsid w:val="005B5BB9"/>
    <w:rsid w:val="005B5E93"/>
    <w:rsid w:val="005B7311"/>
    <w:rsid w:val="005B7EF8"/>
    <w:rsid w:val="005C04F2"/>
    <w:rsid w:val="005C1E68"/>
    <w:rsid w:val="005C27EA"/>
    <w:rsid w:val="005C39BE"/>
    <w:rsid w:val="005C42D6"/>
    <w:rsid w:val="005C497A"/>
    <w:rsid w:val="005C4ACD"/>
    <w:rsid w:val="005C4CC4"/>
    <w:rsid w:val="005C4F94"/>
    <w:rsid w:val="005C51E9"/>
    <w:rsid w:val="005C5220"/>
    <w:rsid w:val="005C565B"/>
    <w:rsid w:val="005C5743"/>
    <w:rsid w:val="005C5E80"/>
    <w:rsid w:val="005C6603"/>
    <w:rsid w:val="005C6A68"/>
    <w:rsid w:val="005C72F1"/>
    <w:rsid w:val="005C77C0"/>
    <w:rsid w:val="005D0547"/>
    <w:rsid w:val="005D0827"/>
    <w:rsid w:val="005D0A61"/>
    <w:rsid w:val="005D11F6"/>
    <w:rsid w:val="005D139F"/>
    <w:rsid w:val="005D13D2"/>
    <w:rsid w:val="005D156C"/>
    <w:rsid w:val="005D15E0"/>
    <w:rsid w:val="005D16FF"/>
    <w:rsid w:val="005D1B3A"/>
    <w:rsid w:val="005D1B98"/>
    <w:rsid w:val="005D2E69"/>
    <w:rsid w:val="005D3156"/>
    <w:rsid w:val="005D33DB"/>
    <w:rsid w:val="005D3446"/>
    <w:rsid w:val="005D3700"/>
    <w:rsid w:val="005D379B"/>
    <w:rsid w:val="005D37B0"/>
    <w:rsid w:val="005D37D1"/>
    <w:rsid w:val="005D3D7D"/>
    <w:rsid w:val="005D4217"/>
    <w:rsid w:val="005D4AC7"/>
    <w:rsid w:val="005D5922"/>
    <w:rsid w:val="005D607F"/>
    <w:rsid w:val="005D676F"/>
    <w:rsid w:val="005D735A"/>
    <w:rsid w:val="005E0BA6"/>
    <w:rsid w:val="005E0BB4"/>
    <w:rsid w:val="005E0FF4"/>
    <w:rsid w:val="005E103C"/>
    <w:rsid w:val="005E17DB"/>
    <w:rsid w:val="005E181D"/>
    <w:rsid w:val="005E192A"/>
    <w:rsid w:val="005E1A3D"/>
    <w:rsid w:val="005E2098"/>
    <w:rsid w:val="005E227C"/>
    <w:rsid w:val="005E2FB5"/>
    <w:rsid w:val="005E3929"/>
    <w:rsid w:val="005E4BCE"/>
    <w:rsid w:val="005E5403"/>
    <w:rsid w:val="005E5518"/>
    <w:rsid w:val="005E5DED"/>
    <w:rsid w:val="005E66BA"/>
    <w:rsid w:val="005E7990"/>
    <w:rsid w:val="005F04C2"/>
    <w:rsid w:val="005F0872"/>
    <w:rsid w:val="005F0C8C"/>
    <w:rsid w:val="005F1296"/>
    <w:rsid w:val="005F1968"/>
    <w:rsid w:val="005F204D"/>
    <w:rsid w:val="005F2304"/>
    <w:rsid w:val="005F46B5"/>
    <w:rsid w:val="005F48FE"/>
    <w:rsid w:val="005F4D6E"/>
    <w:rsid w:val="005F5121"/>
    <w:rsid w:val="005F544B"/>
    <w:rsid w:val="005F600A"/>
    <w:rsid w:val="005F706C"/>
    <w:rsid w:val="005F7B8F"/>
    <w:rsid w:val="005F7FF9"/>
    <w:rsid w:val="00600144"/>
    <w:rsid w:val="00600397"/>
    <w:rsid w:val="00601C0C"/>
    <w:rsid w:val="00601F90"/>
    <w:rsid w:val="00602005"/>
    <w:rsid w:val="00602C5E"/>
    <w:rsid w:val="00603444"/>
    <w:rsid w:val="00603500"/>
    <w:rsid w:val="0060378C"/>
    <w:rsid w:val="00603D1B"/>
    <w:rsid w:val="00604023"/>
    <w:rsid w:val="00605346"/>
    <w:rsid w:val="00605AAB"/>
    <w:rsid w:val="00605E57"/>
    <w:rsid w:val="0060609A"/>
    <w:rsid w:val="006065A3"/>
    <w:rsid w:val="00606774"/>
    <w:rsid w:val="00606841"/>
    <w:rsid w:val="00606B63"/>
    <w:rsid w:val="00607519"/>
    <w:rsid w:val="00607BE6"/>
    <w:rsid w:val="006102FE"/>
    <w:rsid w:val="00610E59"/>
    <w:rsid w:val="00611495"/>
    <w:rsid w:val="006122A9"/>
    <w:rsid w:val="006128DA"/>
    <w:rsid w:val="006128EF"/>
    <w:rsid w:val="00612C16"/>
    <w:rsid w:val="00613511"/>
    <w:rsid w:val="006139F6"/>
    <w:rsid w:val="00613B51"/>
    <w:rsid w:val="00613DEA"/>
    <w:rsid w:val="00614C74"/>
    <w:rsid w:val="00614F24"/>
    <w:rsid w:val="00615157"/>
    <w:rsid w:val="00615867"/>
    <w:rsid w:val="00615DD3"/>
    <w:rsid w:val="006165B5"/>
    <w:rsid w:val="00616F6E"/>
    <w:rsid w:val="0061708F"/>
    <w:rsid w:val="006172A7"/>
    <w:rsid w:val="00617DCA"/>
    <w:rsid w:val="00620319"/>
    <w:rsid w:val="006208AE"/>
    <w:rsid w:val="006215BC"/>
    <w:rsid w:val="006215E7"/>
    <w:rsid w:val="0062166F"/>
    <w:rsid w:val="00622336"/>
    <w:rsid w:val="006226AF"/>
    <w:rsid w:val="00622812"/>
    <w:rsid w:val="00623668"/>
    <w:rsid w:val="006240E4"/>
    <w:rsid w:val="006245A8"/>
    <w:rsid w:val="00624617"/>
    <w:rsid w:val="00624F16"/>
    <w:rsid w:val="00625BBB"/>
    <w:rsid w:val="006266DA"/>
    <w:rsid w:val="00627830"/>
    <w:rsid w:val="00630796"/>
    <w:rsid w:val="00630BF4"/>
    <w:rsid w:val="0063117E"/>
    <w:rsid w:val="0063123E"/>
    <w:rsid w:val="0063138A"/>
    <w:rsid w:val="00631CF1"/>
    <w:rsid w:val="00632149"/>
    <w:rsid w:val="00633EC3"/>
    <w:rsid w:val="00635953"/>
    <w:rsid w:val="00636730"/>
    <w:rsid w:val="00636926"/>
    <w:rsid w:val="00636C9D"/>
    <w:rsid w:val="00636CBF"/>
    <w:rsid w:val="00637045"/>
    <w:rsid w:val="0063743B"/>
    <w:rsid w:val="006374C5"/>
    <w:rsid w:val="00640788"/>
    <w:rsid w:val="00642146"/>
    <w:rsid w:val="00642CCA"/>
    <w:rsid w:val="00644495"/>
    <w:rsid w:val="006447F1"/>
    <w:rsid w:val="00645D54"/>
    <w:rsid w:val="00645F9E"/>
    <w:rsid w:val="00646957"/>
    <w:rsid w:val="00650F08"/>
    <w:rsid w:val="006514D2"/>
    <w:rsid w:val="0065192D"/>
    <w:rsid w:val="00652E5C"/>
    <w:rsid w:val="00652EA1"/>
    <w:rsid w:val="00653050"/>
    <w:rsid w:val="00653A9B"/>
    <w:rsid w:val="00653AF2"/>
    <w:rsid w:val="00653B18"/>
    <w:rsid w:val="00653ECF"/>
    <w:rsid w:val="00654BC0"/>
    <w:rsid w:val="00654C5C"/>
    <w:rsid w:val="0065614F"/>
    <w:rsid w:val="0065620E"/>
    <w:rsid w:val="00656411"/>
    <w:rsid w:val="00656DBA"/>
    <w:rsid w:val="00656F67"/>
    <w:rsid w:val="006575F9"/>
    <w:rsid w:val="006600DF"/>
    <w:rsid w:val="00660833"/>
    <w:rsid w:val="00661E9B"/>
    <w:rsid w:val="00664AC8"/>
    <w:rsid w:val="00665775"/>
    <w:rsid w:val="0066639E"/>
    <w:rsid w:val="00666669"/>
    <w:rsid w:val="006669E6"/>
    <w:rsid w:val="00667972"/>
    <w:rsid w:val="00667B9F"/>
    <w:rsid w:val="00673143"/>
    <w:rsid w:val="00673DF6"/>
    <w:rsid w:val="006742F9"/>
    <w:rsid w:val="006747CC"/>
    <w:rsid w:val="00674979"/>
    <w:rsid w:val="00674DD4"/>
    <w:rsid w:val="0067513E"/>
    <w:rsid w:val="00675FB4"/>
    <w:rsid w:val="00676EFE"/>
    <w:rsid w:val="0067720B"/>
    <w:rsid w:val="00677E52"/>
    <w:rsid w:val="00680153"/>
    <w:rsid w:val="00680DED"/>
    <w:rsid w:val="0068159E"/>
    <w:rsid w:val="0068187F"/>
    <w:rsid w:val="00681C37"/>
    <w:rsid w:val="00681C5B"/>
    <w:rsid w:val="00681EB6"/>
    <w:rsid w:val="006822E6"/>
    <w:rsid w:val="00682614"/>
    <w:rsid w:val="006827F1"/>
    <w:rsid w:val="006832A5"/>
    <w:rsid w:val="00683407"/>
    <w:rsid w:val="006838F7"/>
    <w:rsid w:val="00683B3B"/>
    <w:rsid w:val="006848A5"/>
    <w:rsid w:val="00684C34"/>
    <w:rsid w:val="00684F22"/>
    <w:rsid w:val="006854F9"/>
    <w:rsid w:val="006857E5"/>
    <w:rsid w:val="00686238"/>
    <w:rsid w:val="00686779"/>
    <w:rsid w:val="006867C1"/>
    <w:rsid w:val="00687DBA"/>
    <w:rsid w:val="006915F5"/>
    <w:rsid w:val="00691AE2"/>
    <w:rsid w:val="006927FA"/>
    <w:rsid w:val="0069329B"/>
    <w:rsid w:val="006939D6"/>
    <w:rsid w:val="006944BD"/>
    <w:rsid w:val="00694BA3"/>
    <w:rsid w:val="0069708A"/>
    <w:rsid w:val="006975A3"/>
    <w:rsid w:val="00697676"/>
    <w:rsid w:val="00697BDF"/>
    <w:rsid w:val="00697EB6"/>
    <w:rsid w:val="006A14FC"/>
    <w:rsid w:val="006A1FF4"/>
    <w:rsid w:val="006A218D"/>
    <w:rsid w:val="006A2E52"/>
    <w:rsid w:val="006A36A0"/>
    <w:rsid w:val="006A36FF"/>
    <w:rsid w:val="006A3E00"/>
    <w:rsid w:val="006A4EFE"/>
    <w:rsid w:val="006A7599"/>
    <w:rsid w:val="006A76B1"/>
    <w:rsid w:val="006A76D5"/>
    <w:rsid w:val="006B039A"/>
    <w:rsid w:val="006B083D"/>
    <w:rsid w:val="006B0A20"/>
    <w:rsid w:val="006B0C08"/>
    <w:rsid w:val="006B11B1"/>
    <w:rsid w:val="006B1944"/>
    <w:rsid w:val="006B2675"/>
    <w:rsid w:val="006B3550"/>
    <w:rsid w:val="006B3A9E"/>
    <w:rsid w:val="006B3F50"/>
    <w:rsid w:val="006B42E4"/>
    <w:rsid w:val="006B4CD0"/>
    <w:rsid w:val="006B4EB9"/>
    <w:rsid w:val="006B5253"/>
    <w:rsid w:val="006B5A49"/>
    <w:rsid w:val="006B69D1"/>
    <w:rsid w:val="006B6DF3"/>
    <w:rsid w:val="006B74AB"/>
    <w:rsid w:val="006B7EEA"/>
    <w:rsid w:val="006C01D0"/>
    <w:rsid w:val="006C04B0"/>
    <w:rsid w:val="006C0F1A"/>
    <w:rsid w:val="006C2000"/>
    <w:rsid w:val="006C33B8"/>
    <w:rsid w:val="006C3ED4"/>
    <w:rsid w:val="006C441C"/>
    <w:rsid w:val="006C4EB2"/>
    <w:rsid w:val="006C555A"/>
    <w:rsid w:val="006C5D4C"/>
    <w:rsid w:val="006C69DE"/>
    <w:rsid w:val="006D0251"/>
    <w:rsid w:val="006D0550"/>
    <w:rsid w:val="006D085B"/>
    <w:rsid w:val="006D0BFC"/>
    <w:rsid w:val="006D0C45"/>
    <w:rsid w:val="006D0D54"/>
    <w:rsid w:val="006D0DA4"/>
    <w:rsid w:val="006D1274"/>
    <w:rsid w:val="006D14AA"/>
    <w:rsid w:val="006D187F"/>
    <w:rsid w:val="006D1948"/>
    <w:rsid w:val="006D1A69"/>
    <w:rsid w:val="006D1CB0"/>
    <w:rsid w:val="006D1E75"/>
    <w:rsid w:val="006D1FCF"/>
    <w:rsid w:val="006D24D1"/>
    <w:rsid w:val="006D2E1C"/>
    <w:rsid w:val="006D30C6"/>
    <w:rsid w:val="006D31B9"/>
    <w:rsid w:val="006D3955"/>
    <w:rsid w:val="006D4226"/>
    <w:rsid w:val="006D44B2"/>
    <w:rsid w:val="006D4CED"/>
    <w:rsid w:val="006D4F6B"/>
    <w:rsid w:val="006D51D8"/>
    <w:rsid w:val="006D52A5"/>
    <w:rsid w:val="006D549B"/>
    <w:rsid w:val="006D5DF3"/>
    <w:rsid w:val="006D6304"/>
    <w:rsid w:val="006D63FD"/>
    <w:rsid w:val="006D695F"/>
    <w:rsid w:val="006D6990"/>
    <w:rsid w:val="006D71CE"/>
    <w:rsid w:val="006D79EE"/>
    <w:rsid w:val="006D7B7A"/>
    <w:rsid w:val="006D7C4D"/>
    <w:rsid w:val="006E078E"/>
    <w:rsid w:val="006E0EC1"/>
    <w:rsid w:val="006E1D98"/>
    <w:rsid w:val="006E205C"/>
    <w:rsid w:val="006E2788"/>
    <w:rsid w:val="006E2AAE"/>
    <w:rsid w:val="006E2E95"/>
    <w:rsid w:val="006E3193"/>
    <w:rsid w:val="006E3836"/>
    <w:rsid w:val="006E3AE0"/>
    <w:rsid w:val="006E4933"/>
    <w:rsid w:val="006E558C"/>
    <w:rsid w:val="006E649A"/>
    <w:rsid w:val="006E66B6"/>
    <w:rsid w:val="006E7961"/>
    <w:rsid w:val="006F019C"/>
    <w:rsid w:val="006F0242"/>
    <w:rsid w:val="006F0E9B"/>
    <w:rsid w:val="006F11D2"/>
    <w:rsid w:val="006F147B"/>
    <w:rsid w:val="006F19AF"/>
    <w:rsid w:val="006F1A69"/>
    <w:rsid w:val="006F2830"/>
    <w:rsid w:val="006F2C44"/>
    <w:rsid w:val="006F2E1E"/>
    <w:rsid w:val="006F3928"/>
    <w:rsid w:val="006F3A53"/>
    <w:rsid w:val="006F465E"/>
    <w:rsid w:val="006F4D6C"/>
    <w:rsid w:val="006F5021"/>
    <w:rsid w:val="006F5323"/>
    <w:rsid w:val="006F6364"/>
    <w:rsid w:val="006F6ED9"/>
    <w:rsid w:val="007013A0"/>
    <w:rsid w:val="00701638"/>
    <w:rsid w:val="0070172C"/>
    <w:rsid w:val="00701A41"/>
    <w:rsid w:val="00702BBA"/>
    <w:rsid w:val="00702CF2"/>
    <w:rsid w:val="00703106"/>
    <w:rsid w:val="0070322A"/>
    <w:rsid w:val="00703667"/>
    <w:rsid w:val="00703838"/>
    <w:rsid w:val="00703A96"/>
    <w:rsid w:val="00704B38"/>
    <w:rsid w:val="00704BEB"/>
    <w:rsid w:val="00704D78"/>
    <w:rsid w:val="00704D9C"/>
    <w:rsid w:val="00707208"/>
    <w:rsid w:val="007072D3"/>
    <w:rsid w:val="00707E07"/>
    <w:rsid w:val="007108A7"/>
    <w:rsid w:val="00710F16"/>
    <w:rsid w:val="007110AC"/>
    <w:rsid w:val="00711703"/>
    <w:rsid w:val="00712008"/>
    <w:rsid w:val="007120EA"/>
    <w:rsid w:val="00712BCB"/>
    <w:rsid w:val="00713C8F"/>
    <w:rsid w:val="007143B3"/>
    <w:rsid w:val="00714A4D"/>
    <w:rsid w:val="00715543"/>
    <w:rsid w:val="00715F72"/>
    <w:rsid w:val="00716AC7"/>
    <w:rsid w:val="00717518"/>
    <w:rsid w:val="007205D9"/>
    <w:rsid w:val="0072074A"/>
    <w:rsid w:val="0072085A"/>
    <w:rsid w:val="0072106D"/>
    <w:rsid w:val="00721286"/>
    <w:rsid w:val="00721655"/>
    <w:rsid w:val="00721956"/>
    <w:rsid w:val="0072206E"/>
    <w:rsid w:val="007221D6"/>
    <w:rsid w:val="007223CE"/>
    <w:rsid w:val="007237E4"/>
    <w:rsid w:val="007242ED"/>
    <w:rsid w:val="00724B2B"/>
    <w:rsid w:val="007258FC"/>
    <w:rsid w:val="00725B89"/>
    <w:rsid w:val="00725C1A"/>
    <w:rsid w:val="00726A69"/>
    <w:rsid w:val="00726FE6"/>
    <w:rsid w:val="00727384"/>
    <w:rsid w:val="00727696"/>
    <w:rsid w:val="0072769E"/>
    <w:rsid w:val="00727824"/>
    <w:rsid w:val="00730818"/>
    <w:rsid w:val="00730E3B"/>
    <w:rsid w:val="00731F4D"/>
    <w:rsid w:val="00732EAE"/>
    <w:rsid w:val="00733991"/>
    <w:rsid w:val="00733C8D"/>
    <w:rsid w:val="00733DE3"/>
    <w:rsid w:val="007344B7"/>
    <w:rsid w:val="007347F0"/>
    <w:rsid w:val="00734929"/>
    <w:rsid w:val="00734E69"/>
    <w:rsid w:val="00735182"/>
    <w:rsid w:val="0073525C"/>
    <w:rsid w:val="00735372"/>
    <w:rsid w:val="00735916"/>
    <w:rsid w:val="007359D1"/>
    <w:rsid w:val="007365BD"/>
    <w:rsid w:val="007367CD"/>
    <w:rsid w:val="007376BE"/>
    <w:rsid w:val="00737B2B"/>
    <w:rsid w:val="007413B9"/>
    <w:rsid w:val="0074156A"/>
    <w:rsid w:val="00741D73"/>
    <w:rsid w:val="00741E04"/>
    <w:rsid w:val="00742025"/>
    <w:rsid w:val="007421F4"/>
    <w:rsid w:val="00742663"/>
    <w:rsid w:val="007439B1"/>
    <w:rsid w:val="007446C2"/>
    <w:rsid w:val="00744856"/>
    <w:rsid w:val="00744C21"/>
    <w:rsid w:val="00744D98"/>
    <w:rsid w:val="0074544E"/>
    <w:rsid w:val="00745781"/>
    <w:rsid w:val="00746537"/>
    <w:rsid w:val="0074674D"/>
    <w:rsid w:val="00747A03"/>
    <w:rsid w:val="0075052E"/>
    <w:rsid w:val="00750840"/>
    <w:rsid w:val="00751134"/>
    <w:rsid w:val="00751C28"/>
    <w:rsid w:val="007522B9"/>
    <w:rsid w:val="007526FB"/>
    <w:rsid w:val="0075270E"/>
    <w:rsid w:val="00752E10"/>
    <w:rsid w:val="00754926"/>
    <w:rsid w:val="00755C62"/>
    <w:rsid w:val="00755D0B"/>
    <w:rsid w:val="007560F2"/>
    <w:rsid w:val="00756F44"/>
    <w:rsid w:val="007572BB"/>
    <w:rsid w:val="00757D7E"/>
    <w:rsid w:val="00760353"/>
    <w:rsid w:val="00760AF8"/>
    <w:rsid w:val="00760F35"/>
    <w:rsid w:val="007615DA"/>
    <w:rsid w:val="00761BAB"/>
    <w:rsid w:val="007621F2"/>
    <w:rsid w:val="00763EC0"/>
    <w:rsid w:val="007640FC"/>
    <w:rsid w:val="007643AD"/>
    <w:rsid w:val="0076457A"/>
    <w:rsid w:val="00764863"/>
    <w:rsid w:val="00764ACC"/>
    <w:rsid w:val="007651FF"/>
    <w:rsid w:val="00765AF5"/>
    <w:rsid w:val="007673E7"/>
    <w:rsid w:val="00767510"/>
    <w:rsid w:val="00767743"/>
    <w:rsid w:val="00770372"/>
    <w:rsid w:val="0077073B"/>
    <w:rsid w:val="00770AEA"/>
    <w:rsid w:val="0077134B"/>
    <w:rsid w:val="00771AA5"/>
    <w:rsid w:val="0077276D"/>
    <w:rsid w:val="00772B5A"/>
    <w:rsid w:val="00773933"/>
    <w:rsid w:val="00773FE3"/>
    <w:rsid w:val="007741EF"/>
    <w:rsid w:val="00774A4E"/>
    <w:rsid w:val="00775C74"/>
    <w:rsid w:val="00776185"/>
    <w:rsid w:val="00777E6C"/>
    <w:rsid w:val="00777E7D"/>
    <w:rsid w:val="00780571"/>
    <w:rsid w:val="00780692"/>
    <w:rsid w:val="00782481"/>
    <w:rsid w:val="00782AE0"/>
    <w:rsid w:val="0078359D"/>
    <w:rsid w:val="007838FE"/>
    <w:rsid w:val="00784236"/>
    <w:rsid w:val="00784502"/>
    <w:rsid w:val="00784AA1"/>
    <w:rsid w:val="00785571"/>
    <w:rsid w:val="007859ED"/>
    <w:rsid w:val="00785AFD"/>
    <w:rsid w:val="00785EE9"/>
    <w:rsid w:val="00786160"/>
    <w:rsid w:val="00786360"/>
    <w:rsid w:val="007866FE"/>
    <w:rsid w:val="007869A6"/>
    <w:rsid w:val="007870F5"/>
    <w:rsid w:val="00787132"/>
    <w:rsid w:val="00790982"/>
    <w:rsid w:val="0079178F"/>
    <w:rsid w:val="0079215A"/>
    <w:rsid w:val="007921A2"/>
    <w:rsid w:val="00792A06"/>
    <w:rsid w:val="00792F07"/>
    <w:rsid w:val="0079302C"/>
    <w:rsid w:val="0079382B"/>
    <w:rsid w:val="007942AB"/>
    <w:rsid w:val="0079479D"/>
    <w:rsid w:val="00795CF6"/>
    <w:rsid w:val="007964D0"/>
    <w:rsid w:val="0079690A"/>
    <w:rsid w:val="007972FA"/>
    <w:rsid w:val="00797343"/>
    <w:rsid w:val="0079786D"/>
    <w:rsid w:val="007A031D"/>
    <w:rsid w:val="007A0601"/>
    <w:rsid w:val="007A0781"/>
    <w:rsid w:val="007A11A0"/>
    <w:rsid w:val="007A14E9"/>
    <w:rsid w:val="007A157F"/>
    <w:rsid w:val="007A2B9B"/>
    <w:rsid w:val="007A2E8F"/>
    <w:rsid w:val="007A40D6"/>
    <w:rsid w:val="007A4958"/>
    <w:rsid w:val="007A5460"/>
    <w:rsid w:val="007A686B"/>
    <w:rsid w:val="007A7450"/>
    <w:rsid w:val="007A750C"/>
    <w:rsid w:val="007A795E"/>
    <w:rsid w:val="007A7FAB"/>
    <w:rsid w:val="007B01A7"/>
    <w:rsid w:val="007B09BC"/>
    <w:rsid w:val="007B0B10"/>
    <w:rsid w:val="007B0F5F"/>
    <w:rsid w:val="007B1B06"/>
    <w:rsid w:val="007B2AD1"/>
    <w:rsid w:val="007B2C2D"/>
    <w:rsid w:val="007B3267"/>
    <w:rsid w:val="007B3495"/>
    <w:rsid w:val="007B531D"/>
    <w:rsid w:val="007B5806"/>
    <w:rsid w:val="007B6AAD"/>
    <w:rsid w:val="007B6ACA"/>
    <w:rsid w:val="007B6D54"/>
    <w:rsid w:val="007B7617"/>
    <w:rsid w:val="007B7DB2"/>
    <w:rsid w:val="007B7E5E"/>
    <w:rsid w:val="007C00C3"/>
    <w:rsid w:val="007C0593"/>
    <w:rsid w:val="007C1B6E"/>
    <w:rsid w:val="007C1DB7"/>
    <w:rsid w:val="007C29E2"/>
    <w:rsid w:val="007C2A3F"/>
    <w:rsid w:val="007C3B46"/>
    <w:rsid w:val="007C3D52"/>
    <w:rsid w:val="007C4714"/>
    <w:rsid w:val="007C4B43"/>
    <w:rsid w:val="007C50B8"/>
    <w:rsid w:val="007C52F1"/>
    <w:rsid w:val="007C5BF7"/>
    <w:rsid w:val="007C5DF0"/>
    <w:rsid w:val="007C5E83"/>
    <w:rsid w:val="007C652B"/>
    <w:rsid w:val="007C661C"/>
    <w:rsid w:val="007C6B1B"/>
    <w:rsid w:val="007C6D9B"/>
    <w:rsid w:val="007C70E4"/>
    <w:rsid w:val="007C7303"/>
    <w:rsid w:val="007C748F"/>
    <w:rsid w:val="007C74D2"/>
    <w:rsid w:val="007C7D11"/>
    <w:rsid w:val="007D003B"/>
    <w:rsid w:val="007D035D"/>
    <w:rsid w:val="007D06C1"/>
    <w:rsid w:val="007D0C3B"/>
    <w:rsid w:val="007D0DC2"/>
    <w:rsid w:val="007D1558"/>
    <w:rsid w:val="007D15DF"/>
    <w:rsid w:val="007D21DB"/>
    <w:rsid w:val="007D243E"/>
    <w:rsid w:val="007D2919"/>
    <w:rsid w:val="007D29B8"/>
    <w:rsid w:val="007D2ECC"/>
    <w:rsid w:val="007D432B"/>
    <w:rsid w:val="007D5374"/>
    <w:rsid w:val="007D544D"/>
    <w:rsid w:val="007D55B4"/>
    <w:rsid w:val="007D5C47"/>
    <w:rsid w:val="007D5C4C"/>
    <w:rsid w:val="007D5CA0"/>
    <w:rsid w:val="007D5CB7"/>
    <w:rsid w:val="007D5DBE"/>
    <w:rsid w:val="007D5FA9"/>
    <w:rsid w:val="007D6681"/>
    <w:rsid w:val="007D6730"/>
    <w:rsid w:val="007D79DD"/>
    <w:rsid w:val="007E0214"/>
    <w:rsid w:val="007E2322"/>
    <w:rsid w:val="007E2822"/>
    <w:rsid w:val="007E2CB0"/>
    <w:rsid w:val="007E3670"/>
    <w:rsid w:val="007E386E"/>
    <w:rsid w:val="007E38A3"/>
    <w:rsid w:val="007E3DAB"/>
    <w:rsid w:val="007E478C"/>
    <w:rsid w:val="007E4EF2"/>
    <w:rsid w:val="007E5750"/>
    <w:rsid w:val="007E57E1"/>
    <w:rsid w:val="007E69C0"/>
    <w:rsid w:val="007E6AB0"/>
    <w:rsid w:val="007E7497"/>
    <w:rsid w:val="007E74EA"/>
    <w:rsid w:val="007E7D89"/>
    <w:rsid w:val="007F0184"/>
    <w:rsid w:val="007F02CF"/>
    <w:rsid w:val="007F059C"/>
    <w:rsid w:val="007F087A"/>
    <w:rsid w:val="007F1468"/>
    <w:rsid w:val="007F1587"/>
    <w:rsid w:val="007F2DD7"/>
    <w:rsid w:val="007F33A6"/>
    <w:rsid w:val="007F38B7"/>
    <w:rsid w:val="007F4C3D"/>
    <w:rsid w:val="007F4C5B"/>
    <w:rsid w:val="007F65BB"/>
    <w:rsid w:val="007F7199"/>
    <w:rsid w:val="007F78BD"/>
    <w:rsid w:val="007F7A81"/>
    <w:rsid w:val="0080017E"/>
    <w:rsid w:val="0080032F"/>
    <w:rsid w:val="0080057F"/>
    <w:rsid w:val="00800958"/>
    <w:rsid w:val="00801319"/>
    <w:rsid w:val="00802658"/>
    <w:rsid w:val="00804962"/>
    <w:rsid w:val="00805813"/>
    <w:rsid w:val="00805D99"/>
    <w:rsid w:val="008061D0"/>
    <w:rsid w:val="00806A39"/>
    <w:rsid w:val="00807650"/>
    <w:rsid w:val="00807810"/>
    <w:rsid w:val="00807935"/>
    <w:rsid w:val="00807C62"/>
    <w:rsid w:val="008100C4"/>
    <w:rsid w:val="008101E0"/>
    <w:rsid w:val="00810208"/>
    <w:rsid w:val="0081072B"/>
    <w:rsid w:val="0081079F"/>
    <w:rsid w:val="00810860"/>
    <w:rsid w:val="00810BF0"/>
    <w:rsid w:val="00812872"/>
    <w:rsid w:val="00813798"/>
    <w:rsid w:val="00814417"/>
    <w:rsid w:val="00814A01"/>
    <w:rsid w:val="00814B47"/>
    <w:rsid w:val="00814DF5"/>
    <w:rsid w:val="00815065"/>
    <w:rsid w:val="00815A07"/>
    <w:rsid w:val="00816218"/>
    <w:rsid w:val="00816330"/>
    <w:rsid w:val="008164D6"/>
    <w:rsid w:val="0081669D"/>
    <w:rsid w:val="00816732"/>
    <w:rsid w:val="00817C94"/>
    <w:rsid w:val="00820CB0"/>
    <w:rsid w:val="00821208"/>
    <w:rsid w:val="008213D5"/>
    <w:rsid w:val="00821B88"/>
    <w:rsid w:val="00822064"/>
    <w:rsid w:val="00822C14"/>
    <w:rsid w:val="008237DB"/>
    <w:rsid w:val="0082397B"/>
    <w:rsid w:val="00824172"/>
    <w:rsid w:val="008243C2"/>
    <w:rsid w:val="00825030"/>
    <w:rsid w:val="0082582B"/>
    <w:rsid w:val="008259FF"/>
    <w:rsid w:val="008260A6"/>
    <w:rsid w:val="00826A3A"/>
    <w:rsid w:val="00826E38"/>
    <w:rsid w:val="008277E2"/>
    <w:rsid w:val="00827D0D"/>
    <w:rsid w:val="00830B67"/>
    <w:rsid w:val="00830D7C"/>
    <w:rsid w:val="00831456"/>
    <w:rsid w:val="008318B5"/>
    <w:rsid w:val="0083206D"/>
    <w:rsid w:val="008320C9"/>
    <w:rsid w:val="00832187"/>
    <w:rsid w:val="008326CB"/>
    <w:rsid w:val="0083314A"/>
    <w:rsid w:val="00833683"/>
    <w:rsid w:val="00834311"/>
    <w:rsid w:val="00836383"/>
    <w:rsid w:val="00836CC5"/>
    <w:rsid w:val="00836EF7"/>
    <w:rsid w:val="008372A4"/>
    <w:rsid w:val="00837596"/>
    <w:rsid w:val="008376D7"/>
    <w:rsid w:val="008377D0"/>
    <w:rsid w:val="00837A5C"/>
    <w:rsid w:val="00840001"/>
    <w:rsid w:val="008400A2"/>
    <w:rsid w:val="0084025D"/>
    <w:rsid w:val="00840B21"/>
    <w:rsid w:val="00840CD6"/>
    <w:rsid w:val="00841599"/>
    <w:rsid w:val="00841692"/>
    <w:rsid w:val="008421D5"/>
    <w:rsid w:val="00842F29"/>
    <w:rsid w:val="008432E3"/>
    <w:rsid w:val="00843AB1"/>
    <w:rsid w:val="008441C1"/>
    <w:rsid w:val="00845346"/>
    <w:rsid w:val="0084624F"/>
    <w:rsid w:val="00846F24"/>
    <w:rsid w:val="00847B68"/>
    <w:rsid w:val="00847FA7"/>
    <w:rsid w:val="00850521"/>
    <w:rsid w:val="00850DF1"/>
    <w:rsid w:val="00851921"/>
    <w:rsid w:val="00852906"/>
    <w:rsid w:val="00852ACF"/>
    <w:rsid w:val="00852F7E"/>
    <w:rsid w:val="00853CAD"/>
    <w:rsid w:val="00853F8C"/>
    <w:rsid w:val="00854844"/>
    <w:rsid w:val="00854C43"/>
    <w:rsid w:val="00854D66"/>
    <w:rsid w:val="00855BCB"/>
    <w:rsid w:val="0085608F"/>
    <w:rsid w:val="00856158"/>
    <w:rsid w:val="00856896"/>
    <w:rsid w:val="00856C73"/>
    <w:rsid w:val="0085722A"/>
    <w:rsid w:val="0086043B"/>
    <w:rsid w:val="00860C7D"/>
    <w:rsid w:val="00861096"/>
    <w:rsid w:val="0086128F"/>
    <w:rsid w:val="008613FF"/>
    <w:rsid w:val="00861B3F"/>
    <w:rsid w:val="00861E48"/>
    <w:rsid w:val="00862280"/>
    <w:rsid w:val="00862546"/>
    <w:rsid w:val="008629CC"/>
    <w:rsid w:val="00863276"/>
    <w:rsid w:val="0086392C"/>
    <w:rsid w:val="00863ABF"/>
    <w:rsid w:val="00863FE6"/>
    <w:rsid w:val="008650C1"/>
    <w:rsid w:val="00865FFD"/>
    <w:rsid w:val="0086655F"/>
    <w:rsid w:val="00866B0C"/>
    <w:rsid w:val="00866B97"/>
    <w:rsid w:val="00867155"/>
    <w:rsid w:val="0087078C"/>
    <w:rsid w:val="00870C0E"/>
    <w:rsid w:val="008716D7"/>
    <w:rsid w:val="008718FF"/>
    <w:rsid w:val="00872710"/>
    <w:rsid w:val="00872E95"/>
    <w:rsid w:val="008732CD"/>
    <w:rsid w:val="00873519"/>
    <w:rsid w:val="00873B37"/>
    <w:rsid w:val="00873CF3"/>
    <w:rsid w:val="0087718B"/>
    <w:rsid w:val="00877351"/>
    <w:rsid w:val="00877366"/>
    <w:rsid w:val="00877AB8"/>
    <w:rsid w:val="00877C0C"/>
    <w:rsid w:val="00877E26"/>
    <w:rsid w:val="00880291"/>
    <w:rsid w:val="00880E3F"/>
    <w:rsid w:val="00880EB6"/>
    <w:rsid w:val="00881565"/>
    <w:rsid w:val="00881B78"/>
    <w:rsid w:val="00882B54"/>
    <w:rsid w:val="00882CC9"/>
    <w:rsid w:val="00883022"/>
    <w:rsid w:val="008834E2"/>
    <w:rsid w:val="008837F4"/>
    <w:rsid w:val="008838B8"/>
    <w:rsid w:val="00883BFE"/>
    <w:rsid w:val="008844BF"/>
    <w:rsid w:val="00884AF2"/>
    <w:rsid w:val="0088502C"/>
    <w:rsid w:val="008851CB"/>
    <w:rsid w:val="00885968"/>
    <w:rsid w:val="00886382"/>
    <w:rsid w:val="00886525"/>
    <w:rsid w:val="008879CB"/>
    <w:rsid w:val="00887BE9"/>
    <w:rsid w:val="0089004E"/>
    <w:rsid w:val="0089067A"/>
    <w:rsid w:val="008907C4"/>
    <w:rsid w:val="00891527"/>
    <w:rsid w:val="00892167"/>
    <w:rsid w:val="008927F9"/>
    <w:rsid w:val="00892C50"/>
    <w:rsid w:val="00892CD7"/>
    <w:rsid w:val="00892E77"/>
    <w:rsid w:val="0089310A"/>
    <w:rsid w:val="00893C52"/>
    <w:rsid w:val="00894915"/>
    <w:rsid w:val="00894DC4"/>
    <w:rsid w:val="00895776"/>
    <w:rsid w:val="00895C54"/>
    <w:rsid w:val="00895CB4"/>
    <w:rsid w:val="008972B3"/>
    <w:rsid w:val="00897AF7"/>
    <w:rsid w:val="008A0450"/>
    <w:rsid w:val="008A0DED"/>
    <w:rsid w:val="008A1779"/>
    <w:rsid w:val="008A2269"/>
    <w:rsid w:val="008A26EB"/>
    <w:rsid w:val="008A2EFD"/>
    <w:rsid w:val="008A3086"/>
    <w:rsid w:val="008A3505"/>
    <w:rsid w:val="008A3542"/>
    <w:rsid w:val="008A40F5"/>
    <w:rsid w:val="008A42A3"/>
    <w:rsid w:val="008A4322"/>
    <w:rsid w:val="008A5464"/>
    <w:rsid w:val="008A5D4F"/>
    <w:rsid w:val="008A6224"/>
    <w:rsid w:val="008A6C3E"/>
    <w:rsid w:val="008A7BE3"/>
    <w:rsid w:val="008B0292"/>
    <w:rsid w:val="008B02EA"/>
    <w:rsid w:val="008B0456"/>
    <w:rsid w:val="008B094B"/>
    <w:rsid w:val="008B09AF"/>
    <w:rsid w:val="008B1608"/>
    <w:rsid w:val="008B1D86"/>
    <w:rsid w:val="008B2157"/>
    <w:rsid w:val="008B3B33"/>
    <w:rsid w:val="008B4198"/>
    <w:rsid w:val="008B560E"/>
    <w:rsid w:val="008B5939"/>
    <w:rsid w:val="008B5C88"/>
    <w:rsid w:val="008B5F7D"/>
    <w:rsid w:val="008B66FA"/>
    <w:rsid w:val="008B6C4F"/>
    <w:rsid w:val="008B71E0"/>
    <w:rsid w:val="008B745D"/>
    <w:rsid w:val="008C06CA"/>
    <w:rsid w:val="008C08A1"/>
    <w:rsid w:val="008C0DED"/>
    <w:rsid w:val="008C0E4B"/>
    <w:rsid w:val="008C1122"/>
    <w:rsid w:val="008C192D"/>
    <w:rsid w:val="008C209B"/>
    <w:rsid w:val="008C2A11"/>
    <w:rsid w:val="008C2B57"/>
    <w:rsid w:val="008C2E76"/>
    <w:rsid w:val="008C353A"/>
    <w:rsid w:val="008C3BC4"/>
    <w:rsid w:val="008C4560"/>
    <w:rsid w:val="008C4796"/>
    <w:rsid w:val="008C4E76"/>
    <w:rsid w:val="008C4F0A"/>
    <w:rsid w:val="008C5564"/>
    <w:rsid w:val="008C5CA4"/>
    <w:rsid w:val="008C706B"/>
    <w:rsid w:val="008D0670"/>
    <w:rsid w:val="008D0B39"/>
    <w:rsid w:val="008D10B0"/>
    <w:rsid w:val="008D14D4"/>
    <w:rsid w:val="008D18E9"/>
    <w:rsid w:val="008D22A4"/>
    <w:rsid w:val="008D2971"/>
    <w:rsid w:val="008D2AA1"/>
    <w:rsid w:val="008D3D6A"/>
    <w:rsid w:val="008D3DDA"/>
    <w:rsid w:val="008D3E3D"/>
    <w:rsid w:val="008D429F"/>
    <w:rsid w:val="008D459F"/>
    <w:rsid w:val="008D46C7"/>
    <w:rsid w:val="008D47A2"/>
    <w:rsid w:val="008D4ADB"/>
    <w:rsid w:val="008D4B37"/>
    <w:rsid w:val="008D4F4F"/>
    <w:rsid w:val="008D5244"/>
    <w:rsid w:val="008D54D7"/>
    <w:rsid w:val="008D5FBF"/>
    <w:rsid w:val="008D5FF0"/>
    <w:rsid w:val="008D65C2"/>
    <w:rsid w:val="008D6D95"/>
    <w:rsid w:val="008D7417"/>
    <w:rsid w:val="008D7AA8"/>
    <w:rsid w:val="008E006F"/>
    <w:rsid w:val="008E0285"/>
    <w:rsid w:val="008E067A"/>
    <w:rsid w:val="008E074D"/>
    <w:rsid w:val="008E1152"/>
    <w:rsid w:val="008E1552"/>
    <w:rsid w:val="008E25F6"/>
    <w:rsid w:val="008E2E7B"/>
    <w:rsid w:val="008E38E6"/>
    <w:rsid w:val="008E55ED"/>
    <w:rsid w:val="008E5C1A"/>
    <w:rsid w:val="008E5D40"/>
    <w:rsid w:val="008E705E"/>
    <w:rsid w:val="008F056E"/>
    <w:rsid w:val="008F077A"/>
    <w:rsid w:val="008F168B"/>
    <w:rsid w:val="008F1BC0"/>
    <w:rsid w:val="008F208B"/>
    <w:rsid w:val="008F269F"/>
    <w:rsid w:val="008F2805"/>
    <w:rsid w:val="008F3AC8"/>
    <w:rsid w:val="008F3CB1"/>
    <w:rsid w:val="008F47E3"/>
    <w:rsid w:val="008F4C8F"/>
    <w:rsid w:val="008F5AFC"/>
    <w:rsid w:val="008F5B1F"/>
    <w:rsid w:val="008F71FD"/>
    <w:rsid w:val="008F76E1"/>
    <w:rsid w:val="008F7A01"/>
    <w:rsid w:val="008F7A2A"/>
    <w:rsid w:val="00900482"/>
    <w:rsid w:val="0090049F"/>
    <w:rsid w:val="009005F9"/>
    <w:rsid w:val="009006C3"/>
    <w:rsid w:val="009011F2"/>
    <w:rsid w:val="00901B7E"/>
    <w:rsid w:val="00902331"/>
    <w:rsid w:val="009027D0"/>
    <w:rsid w:val="00902C73"/>
    <w:rsid w:val="00903427"/>
    <w:rsid w:val="0090408A"/>
    <w:rsid w:val="00904356"/>
    <w:rsid w:val="0090529E"/>
    <w:rsid w:val="00905430"/>
    <w:rsid w:val="00905618"/>
    <w:rsid w:val="009062C8"/>
    <w:rsid w:val="00906477"/>
    <w:rsid w:val="00906B0E"/>
    <w:rsid w:val="00907869"/>
    <w:rsid w:val="009102E9"/>
    <w:rsid w:val="009111CE"/>
    <w:rsid w:val="00911232"/>
    <w:rsid w:val="009113D7"/>
    <w:rsid w:val="0091157F"/>
    <w:rsid w:val="00911A52"/>
    <w:rsid w:val="00911ACE"/>
    <w:rsid w:val="00911BA8"/>
    <w:rsid w:val="009126F5"/>
    <w:rsid w:val="0091374B"/>
    <w:rsid w:val="00913BE1"/>
    <w:rsid w:val="00914731"/>
    <w:rsid w:val="00914892"/>
    <w:rsid w:val="009150BF"/>
    <w:rsid w:val="00915598"/>
    <w:rsid w:val="00915617"/>
    <w:rsid w:val="009156D4"/>
    <w:rsid w:val="00915968"/>
    <w:rsid w:val="00915F97"/>
    <w:rsid w:val="00916D98"/>
    <w:rsid w:val="009179E3"/>
    <w:rsid w:val="00920291"/>
    <w:rsid w:val="009203A4"/>
    <w:rsid w:val="009207BD"/>
    <w:rsid w:val="00921777"/>
    <w:rsid w:val="00921AD9"/>
    <w:rsid w:val="0092296E"/>
    <w:rsid w:val="00922EEA"/>
    <w:rsid w:val="00923101"/>
    <w:rsid w:val="00924398"/>
    <w:rsid w:val="0092482A"/>
    <w:rsid w:val="0092491A"/>
    <w:rsid w:val="00925243"/>
    <w:rsid w:val="009252B5"/>
    <w:rsid w:val="0092546F"/>
    <w:rsid w:val="00925598"/>
    <w:rsid w:val="00925CA6"/>
    <w:rsid w:val="009264CE"/>
    <w:rsid w:val="00926613"/>
    <w:rsid w:val="00926BAD"/>
    <w:rsid w:val="009303F4"/>
    <w:rsid w:val="00930EBC"/>
    <w:rsid w:val="00931462"/>
    <w:rsid w:val="0093165E"/>
    <w:rsid w:val="0093193C"/>
    <w:rsid w:val="00932113"/>
    <w:rsid w:val="00932B97"/>
    <w:rsid w:val="00932BF9"/>
    <w:rsid w:val="00932C6B"/>
    <w:rsid w:val="00933226"/>
    <w:rsid w:val="00933AE7"/>
    <w:rsid w:val="00934977"/>
    <w:rsid w:val="00935511"/>
    <w:rsid w:val="00935842"/>
    <w:rsid w:val="00935F21"/>
    <w:rsid w:val="00935FC9"/>
    <w:rsid w:val="00936142"/>
    <w:rsid w:val="00936340"/>
    <w:rsid w:val="009409AB"/>
    <w:rsid w:val="00940D44"/>
    <w:rsid w:val="00941CB2"/>
    <w:rsid w:val="00941D6A"/>
    <w:rsid w:val="00942739"/>
    <w:rsid w:val="009428F3"/>
    <w:rsid w:val="00942F04"/>
    <w:rsid w:val="00942F32"/>
    <w:rsid w:val="009438E3"/>
    <w:rsid w:val="00944E60"/>
    <w:rsid w:val="00945441"/>
    <w:rsid w:val="009463D4"/>
    <w:rsid w:val="009466C6"/>
    <w:rsid w:val="00946949"/>
    <w:rsid w:val="00947092"/>
    <w:rsid w:val="00947567"/>
    <w:rsid w:val="00947572"/>
    <w:rsid w:val="00947798"/>
    <w:rsid w:val="00947AD2"/>
    <w:rsid w:val="00947CE6"/>
    <w:rsid w:val="0095043D"/>
    <w:rsid w:val="00950553"/>
    <w:rsid w:val="0095079F"/>
    <w:rsid w:val="009508EF"/>
    <w:rsid w:val="009526D5"/>
    <w:rsid w:val="009540DF"/>
    <w:rsid w:val="009545D1"/>
    <w:rsid w:val="00955C8F"/>
    <w:rsid w:val="009564D8"/>
    <w:rsid w:val="00956516"/>
    <w:rsid w:val="00957032"/>
    <w:rsid w:val="0095720A"/>
    <w:rsid w:val="00957647"/>
    <w:rsid w:val="0096010E"/>
    <w:rsid w:val="00960138"/>
    <w:rsid w:val="0096112E"/>
    <w:rsid w:val="00961520"/>
    <w:rsid w:val="0096194B"/>
    <w:rsid w:val="0096266C"/>
    <w:rsid w:val="0096300C"/>
    <w:rsid w:val="00963047"/>
    <w:rsid w:val="00964D43"/>
    <w:rsid w:val="00965208"/>
    <w:rsid w:val="009661DD"/>
    <w:rsid w:val="00966616"/>
    <w:rsid w:val="009666AA"/>
    <w:rsid w:val="00967794"/>
    <w:rsid w:val="00967D2B"/>
    <w:rsid w:val="009701E3"/>
    <w:rsid w:val="0097161B"/>
    <w:rsid w:val="00971627"/>
    <w:rsid w:val="00971DE4"/>
    <w:rsid w:val="0097418F"/>
    <w:rsid w:val="0097439C"/>
    <w:rsid w:val="00975455"/>
    <w:rsid w:val="00975660"/>
    <w:rsid w:val="0097627E"/>
    <w:rsid w:val="00977567"/>
    <w:rsid w:val="0097787C"/>
    <w:rsid w:val="00977897"/>
    <w:rsid w:val="0097794F"/>
    <w:rsid w:val="00980466"/>
    <w:rsid w:val="00980B02"/>
    <w:rsid w:val="00980B58"/>
    <w:rsid w:val="0098108B"/>
    <w:rsid w:val="009826FA"/>
    <w:rsid w:val="00982A93"/>
    <w:rsid w:val="00982D51"/>
    <w:rsid w:val="0098309F"/>
    <w:rsid w:val="00983462"/>
    <w:rsid w:val="00983793"/>
    <w:rsid w:val="00984102"/>
    <w:rsid w:val="00984A33"/>
    <w:rsid w:val="009858A8"/>
    <w:rsid w:val="009859CB"/>
    <w:rsid w:val="00985FAF"/>
    <w:rsid w:val="00986417"/>
    <w:rsid w:val="0098687B"/>
    <w:rsid w:val="00986E0A"/>
    <w:rsid w:val="00986E20"/>
    <w:rsid w:val="0098738E"/>
    <w:rsid w:val="00987450"/>
    <w:rsid w:val="009879B0"/>
    <w:rsid w:val="00987F9D"/>
    <w:rsid w:val="00990C3B"/>
    <w:rsid w:val="0099166B"/>
    <w:rsid w:val="00992425"/>
    <w:rsid w:val="0099272F"/>
    <w:rsid w:val="0099287E"/>
    <w:rsid w:val="009928E1"/>
    <w:rsid w:val="00992A9E"/>
    <w:rsid w:val="00993649"/>
    <w:rsid w:val="00994A0E"/>
    <w:rsid w:val="00994DEC"/>
    <w:rsid w:val="0099526D"/>
    <w:rsid w:val="00995CD5"/>
    <w:rsid w:val="00996F6E"/>
    <w:rsid w:val="00997326"/>
    <w:rsid w:val="0099745A"/>
    <w:rsid w:val="00997AA9"/>
    <w:rsid w:val="009A0067"/>
    <w:rsid w:val="009A02D6"/>
    <w:rsid w:val="009A054B"/>
    <w:rsid w:val="009A0B98"/>
    <w:rsid w:val="009A0EBA"/>
    <w:rsid w:val="009A1516"/>
    <w:rsid w:val="009A1757"/>
    <w:rsid w:val="009A3C16"/>
    <w:rsid w:val="009A44EC"/>
    <w:rsid w:val="009A4B18"/>
    <w:rsid w:val="009A5070"/>
    <w:rsid w:val="009A5BCD"/>
    <w:rsid w:val="009A5E9A"/>
    <w:rsid w:val="009A6FA6"/>
    <w:rsid w:val="009A71B0"/>
    <w:rsid w:val="009A7A6D"/>
    <w:rsid w:val="009A7A77"/>
    <w:rsid w:val="009A7EFD"/>
    <w:rsid w:val="009B069B"/>
    <w:rsid w:val="009B0704"/>
    <w:rsid w:val="009B147A"/>
    <w:rsid w:val="009B1BA2"/>
    <w:rsid w:val="009B2DBA"/>
    <w:rsid w:val="009B3615"/>
    <w:rsid w:val="009B3B12"/>
    <w:rsid w:val="009B57FD"/>
    <w:rsid w:val="009B5B59"/>
    <w:rsid w:val="009B6240"/>
    <w:rsid w:val="009B6DCE"/>
    <w:rsid w:val="009B71C2"/>
    <w:rsid w:val="009C0018"/>
    <w:rsid w:val="009C06AF"/>
    <w:rsid w:val="009C10B7"/>
    <w:rsid w:val="009C1508"/>
    <w:rsid w:val="009C195B"/>
    <w:rsid w:val="009C1B44"/>
    <w:rsid w:val="009C2B64"/>
    <w:rsid w:val="009C2B66"/>
    <w:rsid w:val="009C2BBD"/>
    <w:rsid w:val="009C36D5"/>
    <w:rsid w:val="009C3DBB"/>
    <w:rsid w:val="009C3F27"/>
    <w:rsid w:val="009C4F36"/>
    <w:rsid w:val="009C514C"/>
    <w:rsid w:val="009C6549"/>
    <w:rsid w:val="009C655B"/>
    <w:rsid w:val="009C74FA"/>
    <w:rsid w:val="009C7505"/>
    <w:rsid w:val="009C79CF"/>
    <w:rsid w:val="009D02F4"/>
    <w:rsid w:val="009D0799"/>
    <w:rsid w:val="009D09A6"/>
    <w:rsid w:val="009D0A0C"/>
    <w:rsid w:val="009D0E66"/>
    <w:rsid w:val="009D0F4F"/>
    <w:rsid w:val="009D1474"/>
    <w:rsid w:val="009D1825"/>
    <w:rsid w:val="009D2239"/>
    <w:rsid w:val="009D230C"/>
    <w:rsid w:val="009D2C63"/>
    <w:rsid w:val="009D315E"/>
    <w:rsid w:val="009D346F"/>
    <w:rsid w:val="009D3997"/>
    <w:rsid w:val="009D39BA"/>
    <w:rsid w:val="009D3E89"/>
    <w:rsid w:val="009D4689"/>
    <w:rsid w:val="009D544E"/>
    <w:rsid w:val="009D58E8"/>
    <w:rsid w:val="009D5BBD"/>
    <w:rsid w:val="009D688B"/>
    <w:rsid w:val="009D6B57"/>
    <w:rsid w:val="009D6FEB"/>
    <w:rsid w:val="009D7706"/>
    <w:rsid w:val="009E0BE7"/>
    <w:rsid w:val="009E1521"/>
    <w:rsid w:val="009E156F"/>
    <w:rsid w:val="009E1958"/>
    <w:rsid w:val="009E218E"/>
    <w:rsid w:val="009E24E5"/>
    <w:rsid w:val="009E39A9"/>
    <w:rsid w:val="009E39C8"/>
    <w:rsid w:val="009E4CFC"/>
    <w:rsid w:val="009E5AC1"/>
    <w:rsid w:val="009E6467"/>
    <w:rsid w:val="009E67E3"/>
    <w:rsid w:val="009E6C4E"/>
    <w:rsid w:val="009E6FE6"/>
    <w:rsid w:val="009E7063"/>
    <w:rsid w:val="009E7E80"/>
    <w:rsid w:val="009F0163"/>
    <w:rsid w:val="009F0B87"/>
    <w:rsid w:val="009F15A7"/>
    <w:rsid w:val="009F163E"/>
    <w:rsid w:val="009F186A"/>
    <w:rsid w:val="009F1FCA"/>
    <w:rsid w:val="009F2A01"/>
    <w:rsid w:val="009F3AF6"/>
    <w:rsid w:val="009F442A"/>
    <w:rsid w:val="009F4A44"/>
    <w:rsid w:val="009F4BB6"/>
    <w:rsid w:val="009F5C95"/>
    <w:rsid w:val="009F6027"/>
    <w:rsid w:val="009F6206"/>
    <w:rsid w:val="009F62DE"/>
    <w:rsid w:val="009F6325"/>
    <w:rsid w:val="009F6B05"/>
    <w:rsid w:val="00A00337"/>
    <w:rsid w:val="00A01D46"/>
    <w:rsid w:val="00A023CE"/>
    <w:rsid w:val="00A0244F"/>
    <w:rsid w:val="00A02DE6"/>
    <w:rsid w:val="00A02EC3"/>
    <w:rsid w:val="00A03326"/>
    <w:rsid w:val="00A03729"/>
    <w:rsid w:val="00A04926"/>
    <w:rsid w:val="00A05149"/>
    <w:rsid w:val="00A05591"/>
    <w:rsid w:val="00A05D77"/>
    <w:rsid w:val="00A06184"/>
    <w:rsid w:val="00A070A3"/>
    <w:rsid w:val="00A100B6"/>
    <w:rsid w:val="00A1029F"/>
    <w:rsid w:val="00A1030A"/>
    <w:rsid w:val="00A10DFC"/>
    <w:rsid w:val="00A11FEE"/>
    <w:rsid w:val="00A12BBB"/>
    <w:rsid w:val="00A14F50"/>
    <w:rsid w:val="00A15B65"/>
    <w:rsid w:val="00A160DF"/>
    <w:rsid w:val="00A16AFF"/>
    <w:rsid w:val="00A171BF"/>
    <w:rsid w:val="00A173F3"/>
    <w:rsid w:val="00A1747D"/>
    <w:rsid w:val="00A1777E"/>
    <w:rsid w:val="00A2009E"/>
    <w:rsid w:val="00A2024F"/>
    <w:rsid w:val="00A2086B"/>
    <w:rsid w:val="00A20ED4"/>
    <w:rsid w:val="00A21BEE"/>
    <w:rsid w:val="00A224D3"/>
    <w:rsid w:val="00A22651"/>
    <w:rsid w:val="00A22C6F"/>
    <w:rsid w:val="00A23F92"/>
    <w:rsid w:val="00A2417E"/>
    <w:rsid w:val="00A24846"/>
    <w:rsid w:val="00A24B90"/>
    <w:rsid w:val="00A24C2C"/>
    <w:rsid w:val="00A24E24"/>
    <w:rsid w:val="00A25437"/>
    <w:rsid w:val="00A25836"/>
    <w:rsid w:val="00A25A4E"/>
    <w:rsid w:val="00A25F07"/>
    <w:rsid w:val="00A2640B"/>
    <w:rsid w:val="00A266E1"/>
    <w:rsid w:val="00A27442"/>
    <w:rsid w:val="00A301DE"/>
    <w:rsid w:val="00A3167A"/>
    <w:rsid w:val="00A324EC"/>
    <w:rsid w:val="00A3283E"/>
    <w:rsid w:val="00A32CE7"/>
    <w:rsid w:val="00A32FDB"/>
    <w:rsid w:val="00A3318E"/>
    <w:rsid w:val="00A3373B"/>
    <w:rsid w:val="00A33AB4"/>
    <w:rsid w:val="00A33EC5"/>
    <w:rsid w:val="00A3446C"/>
    <w:rsid w:val="00A3511E"/>
    <w:rsid w:val="00A355A2"/>
    <w:rsid w:val="00A35C8C"/>
    <w:rsid w:val="00A35F5F"/>
    <w:rsid w:val="00A36083"/>
    <w:rsid w:val="00A364DB"/>
    <w:rsid w:val="00A36FE1"/>
    <w:rsid w:val="00A37DBA"/>
    <w:rsid w:val="00A40501"/>
    <w:rsid w:val="00A407A1"/>
    <w:rsid w:val="00A409A5"/>
    <w:rsid w:val="00A40D41"/>
    <w:rsid w:val="00A41269"/>
    <w:rsid w:val="00A4198E"/>
    <w:rsid w:val="00A41B88"/>
    <w:rsid w:val="00A4205F"/>
    <w:rsid w:val="00A42B3D"/>
    <w:rsid w:val="00A42E14"/>
    <w:rsid w:val="00A43278"/>
    <w:rsid w:val="00A43D14"/>
    <w:rsid w:val="00A44EA1"/>
    <w:rsid w:val="00A44FCF"/>
    <w:rsid w:val="00A45211"/>
    <w:rsid w:val="00A46161"/>
    <w:rsid w:val="00A46880"/>
    <w:rsid w:val="00A468D6"/>
    <w:rsid w:val="00A47937"/>
    <w:rsid w:val="00A47D23"/>
    <w:rsid w:val="00A505D1"/>
    <w:rsid w:val="00A51AB4"/>
    <w:rsid w:val="00A5241F"/>
    <w:rsid w:val="00A52F44"/>
    <w:rsid w:val="00A53F32"/>
    <w:rsid w:val="00A54B92"/>
    <w:rsid w:val="00A54F8B"/>
    <w:rsid w:val="00A55920"/>
    <w:rsid w:val="00A55BC8"/>
    <w:rsid w:val="00A56402"/>
    <w:rsid w:val="00A56F12"/>
    <w:rsid w:val="00A574E8"/>
    <w:rsid w:val="00A57D95"/>
    <w:rsid w:val="00A57FEC"/>
    <w:rsid w:val="00A60617"/>
    <w:rsid w:val="00A60C00"/>
    <w:rsid w:val="00A619C9"/>
    <w:rsid w:val="00A61E87"/>
    <w:rsid w:val="00A61F15"/>
    <w:rsid w:val="00A6201B"/>
    <w:rsid w:val="00A63079"/>
    <w:rsid w:val="00A63603"/>
    <w:rsid w:val="00A64965"/>
    <w:rsid w:val="00A66EE2"/>
    <w:rsid w:val="00A67902"/>
    <w:rsid w:val="00A702AA"/>
    <w:rsid w:val="00A709B3"/>
    <w:rsid w:val="00A7159E"/>
    <w:rsid w:val="00A72E9D"/>
    <w:rsid w:val="00A72F89"/>
    <w:rsid w:val="00A73566"/>
    <w:rsid w:val="00A73AC6"/>
    <w:rsid w:val="00A73F39"/>
    <w:rsid w:val="00A73FC1"/>
    <w:rsid w:val="00A74103"/>
    <w:rsid w:val="00A74221"/>
    <w:rsid w:val="00A748DC"/>
    <w:rsid w:val="00A75577"/>
    <w:rsid w:val="00A7642F"/>
    <w:rsid w:val="00A76ADA"/>
    <w:rsid w:val="00A76AEF"/>
    <w:rsid w:val="00A77978"/>
    <w:rsid w:val="00A77B92"/>
    <w:rsid w:val="00A77D27"/>
    <w:rsid w:val="00A807AE"/>
    <w:rsid w:val="00A80960"/>
    <w:rsid w:val="00A81991"/>
    <w:rsid w:val="00A819A0"/>
    <w:rsid w:val="00A828A2"/>
    <w:rsid w:val="00A836B1"/>
    <w:rsid w:val="00A840EC"/>
    <w:rsid w:val="00A84DE2"/>
    <w:rsid w:val="00A85610"/>
    <w:rsid w:val="00A86371"/>
    <w:rsid w:val="00A87534"/>
    <w:rsid w:val="00A90A57"/>
    <w:rsid w:val="00A90E2B"/>
    <w:rsid w:val="00A9141D"/>
    <w:rsid w:val="00A91F09"/>
    <w:rsid w:val="00A92072"/>
    <w:rsid w:val="00A92CAC"/>
    <w:rsid w:val="00A93675"/>
    <w:rsid w:val="00A938BA"/>
    <w:rsid w:val="00A9394D"/>
    <w:rsid w:val="00A9563D"/>
    <w:rsid w:val="00A95B2E"/>
    <w:rsid w:val="00A95F9D"/>
    <w:rsid w:val="00A9693A"/>
    <w:rsid w:val="00A969E1"/>
    <w:rsid w:val="00A97437"/>
    <w:rsid w:val="00A97C7B"/>
    <w:rsid w:val="00A97FD4"/>
    <w:rsid w:val="00AA1870"/>
    <w:rsid w:val="00AA1C9D"/>
    <w:rsid w:val="00AA2135"/>
    <w:rsid w:val="00AA35C6"/>
    <w:rsid w:val="00AA3666"/>
    <w:rsid w:val="00AA3BCA"/>
    <w:rsid w:val="00AA3F59"/>
    <w:rsid w:val="00AA4632"/>
    <w:rsid w:val="00AA4BE6"/>
    <w:rsid w:val="00AA56C9"/>
    <w:rsid w:val="00AA6717"/>
    <w:rsid w:val="00AA6784"/>
    <w:rsid w:val="00AA6786"/>
    <w:rsid w:val="00AA6F96"/>
    <w:rsid w:val="00AA732F"/>
    <w:rsid w:val="00AA7618"/>
    <w:rsid w:val="00AA79C8"/>
    <w:rsid w:val="00AA7AF8"/>
    <w:rsid w:val="00AB01AC"/>
    <w:rsid w:val="00AB03BA"/>
    <w:rsid w:val="00AB04FC"/>
    <w:rsid w:val="00AB0B61"/>
    <w:rsid w:val="00AB13D9"/>
    <w:rsid w:val="00AB1511"/>
    <w:rsid w:val="00AB1904"/>
    <w:rsid w:val="00AB1F7F"/>
    <w:rsid w:val="00AB21EA"/>
    <w:rsid w:val="00AB23E4"/>
    <w:rsid w:val="00AB24D0"/>
    <w:rsid w:val="00AB2894"/>
    <w:rsid w:val="00AB2C40"/>
    <w:rsid w:val="00AB3CA2"/>
    <w:rsid w:val="00AB454A"/>
    <w:rsid w:val="00AB47D3"/>
    <w:rsid w:val="00AB4B4A"/>
    <w:rsid w:val="00AB4EA4"/>
    <w:rsid w:val="00AB54B5"/>
    <w:rsid w:val="00AB560F"/>
    <w:rsid w:val="00AB6342"/>
    <w:rsid w:val="00AB64B7"/>
    <w:rsid w:val="00AB7366"/>
    <w:rsid w:val="00AB7786"/>
    <w:rsid w:val="00AC00E0"/>
    <w:rsid w:val="00AC0C68"/>
    <w:rsid w:val="00AC169C"/>
    <w:rsid w:val="00AC1BB2"/>
    <w:rsid w:val="00AC20D6"/>
    <w:rsid w:val="00AC2125"/>
    <w:rsid w:val="00AC2694"/>
    <w:rsid w:val="00AC4002"/>
    <w:rsid w:val="00AC4DE1"/>
    <w:rsid w:val="00AC5B08"/>
    <w:rsid w:val="00AC6A87"/>
    <w:rsid w:val="00AC77AC"/>
    <w:rsid w:val="00AC782F"/>
    <w:rsid w:val="00AC791E"/>
    <w:rsid w:val="00AD0156"/>
    <w:rsid w:val="00AD04F7"/>
    <w:rsid w:val="00AD0C09"/>
    <w:rsid w:val="00AD0E95"/>
    <w:rsid w:val="00AD14AD"/>
    <w:rsid w:val="00AD15ED"/>
    <w:rsid w:val="00AD17D1"/>
    <w:rsid w:val="00AD1829"/>
    <w:rsid w:val="00AD26DA"/>
    <w:rsid w:val="00AD40A0"/>
    <w:rsid w:val="00AD43E2"/>
    <w:rsid w:val="00AD4C02"/>
    <w:rsid w:val="00AD4C19"/>
    <w:rsid w:val="00AD4EC1"/>
    <w:rsid w:val="00AD55BA"/>
    <w:rsid w:val="00AD5A6A"/>
    <w:rsid w:val="00AD5BB5"/>
    <w:rsid w:val="00AD5F3B"/>
    <w:rsid w:val="00AD6EA4"/>
    <w:rsid w:val="00AD6FBD"/>
    <w:rsid w:val="00AD74B6"/>
    <w:rsid w:val="00AD7508"/>
    <w:rsid w:val="00AD7D25"/>
    <w:rsid w:val="00AD7ED2"/>
    <w:rsid w:val="00AE0659"/>
    <w:rsid w:val="00AE0839"/>
    <w:rsid w:val="00AE249D"/>
    <w:rsid w:val="00AE24A3"/>
    <w:rsid w:val="00AE24ED"/>
    <w:rsid w:val="00AE2FCC"/>
    <w:rsid w:val="00AE3BC5"/>
    <w:rsid w:val="00AE44BA"/>
    <w:rsid w:val="00AE4865"/>
    <w:rsid w:val="00AE5557"/>
    <w:rsid w:val="00AE57D1"/>
    <w:rsid w:val="00AE58BF"/>
    <w:rsid w:val="00AE59EB"/>
    <w:rsid w:val="00AE5C9D"/>
    <w:rsid w:val="00AE5EE3"/>
    <w:rsid w:val="00AE5FB9"/>
    <w:rsid w:val="00AE63F2"/>
    <w:rsid w:val="00AE6909"/>
    <w:rsid w:val="00AE7026"/>
    <w:rsid w:val="00AE7104"/>
    <w:rsid w:val="00AE7703"/>
    <w:rsid w:val="00AE777E"/>
    <w:rsid w:val="00AE7C07"/>
    <w:rsid w:val="00AF0F14"/>
    <w:rsid w:val="00AF1EA4"/>
    <w:rsid w:val="00AF216E"/>
    <w:rsid w:val="00AF2222"/>
    <w:rsid w:val="00AF2863"/>
    <w:rsid w:val="00AF2C81"/>
    <w:rsid w:val="00AF36D1"/>
    <w:rsid w:val="00AF38ED"/>
    <w:rsid w:val="00AF3DDD"/>
    <w:rsid w:val="00AF4E51"/>
    <w:rsid w:val="00AF574C"/>
    <w:rsid w:val="00AF5888"/>
    <w:rsid w:val="00AF5889"/>
    <w:rsid w:val="00AF64B9"/>
    <w:rsid w:val="00AF6D46"/>
    <w:rsid w:val="00AF709F"/>
    <w:rsid w:val="00AF718C"/>
    <w:rsid w:val="00AF736B"/>
    <w:rsid w:val="00AF74E4"/>
    <w:rsid w:val="00AF7B38"/>
    <w:rsid w:val="00AF7C7A"/>
    <w:rsid w:val="00B00066"/>
    <w:rsid w:val="00B006DF"/>
    <w:rsid w:val="00B00A40"/>
    <w:rsid w:val="00B0122F"/>
    <w:rsid w:val="00B020F3"/>
    <w:rsid w:val="00B02488"/>
    <w:rsid w:val="00B0267F"/>
    <w:rsid w:val="00B02A88"/>
    <w:rsid w:val="00B03242"/>
    <w:rsid w:val="00B044BB"/>
    <w:rsid w:val="00B0518B"/>
    <w:rsid w:val="00B06A49"/>
    <w:rsid w:val="00B0746D"/>
    <w:rsid w:val="00B074F6"/>
    <w:rsid w:val="00B07D41"/>
    <w:rsid w:val="00B1002F"/>
    <w:rsid w:val="00B1064B"/>
    <w:rsid w:val="00B109CE"/>
    <w:rsid w:val="00B10BB7"/>
    <w:rsid w:val="00B118FC"/>
    <w:rsid w:val="00B11F7C"/>
    <w:rsid w:val="00B1250A"/>
    <w:rsid w:val="00B12671"/>
    <w:rsid w:val="00B1280B"/>
    <w:rsid w:val="00B132BB"/>
    <w:rsid w:val="00B13E4A"/>
    <w:rsid w:val="00B13ED4"/>
    <w:rsid w:val="00B1423E"/>
    <w:rsid w:val="00B14BB3"/>
    <w:rsid w:val="00B1694F"/>
    <w:rsid w:val="00B16D1E"/>
    <w:rsid w:val="00B16E23"/>
    <w:rsid w:val="00B17295"/>
    <w:rsid w:val="00B17415"/>
    <w:rsid w:val="00B208EC"/>
    <w:rsid w:val="00B20ABE"/>
    <w:rsid w:val="00B2185E"/>
    <w:rsid w:val="00B21FDD"/>
    <w:rsid w:val="00B2200C"/>
    <w:rsid w:val="00B22ADE"/>
    <w:rsid w:val="00B23283"/>
    <w:rsid w:val="00B24A4E"/>
    <w:rsid w:val="00B257C5"/>
    <w:rsid w:val="00B2590F"/>
    <w:rsid w:val="00B2607A"/>
    <w:rsid w:val="00B26E71"/>
    <w:rsid w:val="00B2765C"/>
    <w:rsid w:val="00B301A1"/>
    <w:rsid w:val="00B30475"/>
    <w:rsid w:val="00B307B1"/>
    <w:rsid w:val="00B30B60"/>
    <w:rsid w:val="00B31629"/>
    <w:rsid w:val="00B32C0E"/>
    <w:rsid w:val="00B32CBA"/>
    <w:rsid w:val="00B330C6"/>
    <w:rsid w:val="00B33805"/>
    <w:rsid w:val="00B34C9B"/>
    <w:rsid w:val="00B3573C"/>
    <w:rsid w:val="00B35F91"/>
    <w:rsid w:val="00B360DD"/>
    <w:rsid w:val="00B37249"/>
    <w:rsid w:val="00B37390"/>
    <w:rsid w:val="00B41287"/>
    <w:rsid w:val="00B41614"/>
    <w:rsid w:val="00B41A11"/>
    <w:rsid w:val="00B42D4E"/>
    <w:rsid w:val="00B4308A"/>
    <w:rsid w:val="00B43F66"/>
    <w:rsid w:val="00B449D5"/>
    <w:rsid w:val="00B44B17"/>
    <w:rsid w:val="00B452F5"/>
    <w:rsid w:val="00B4683C"/>
    <w:rsid w:val="00B46860"/>
    <w:rsid w:val="00B47A4D"/>
    <w:rsid w:val="00B50337"/>
    <w:rsid w:val="00B50AB2"/>
    <w:rsid w:val="00B50C9B"/>
    <w:rsid w:val="00B50F72"/>
    <w:rsid w:val="00B51523"/>
    <w:rsid w:val="00B51B75"/>
    <w:rsid w:val="00B532AD"/>
    <w:rsid w:val="00B53568"/>
    <w:rsid w:val="00B53CB9"/>
    <w:rsid w:val="00B54397"/>
    <w:rsid w:val="00B54DA7"/>
    <w:rsid w:val="00B54E56"/>
    <w:rsid w:val="00B55E5E"/>
    <w:rsid w:val="00B567DE"/>
    <w:rsid w:val="00B56D21"/>
    <w:rsid w:val="00B56D8B"/>
    <w:rsid w:val="00B56F3E"/>
    <w:rsid w:val="00B577A5"/>
    <w:rsid w:val="00B603CD"/>
    <w:rsid w:val="00B62366"/>
    <w:rsid w:val="00B6264D"/>
    <w:rsid w:val="00B6272C"/>
    <w:rsid w:val="00B62D2B"/>
    <w:rsid w:val="00B62F50"/>
    <w:rsid w:val="00B6306B"/>
    <w:rsid w:val="00B634D9"/>
    <w:rsid w:val="00B63BDB"/>
    <w:rsid w:val="00B63E04"/>
    <w:rsid w:val="00B63FD1"/>
    <w:rsid w:val="00B63FF2"/>
    <w:rsid w:val="00B6439A"/>
    <w:rsid w:val="00B649C6"/>
    <w:rsid w:val="00B651C9"/>
    <w:rsid w:val="00B658CE"/>
    <w:rsid w:val="00B65AC0"/>
    <w:rsid w:val="00B65D55"/>
    <w:rsid w:val="00B65DBB"/>
    <w:rsid w:val="00B6602F"/>
    <w:rsid w:val="00B666F9"/>
    <w:rsid w:val="00B66C02"/>
    <w:rsid w:val="00B673D7"/>
    <w:rsid w:val="00B678E6"/>
    <w:rsid w:val="00B704CC"/>
    <w:rsid w:val="00B705D9"/>
    <w:rsid w:val="00B70613"/>
    <w:rsid w:val="00B70D62"/>
    <w:rsid w:val="00B714A3"/>
    <w:rsid w:val="00B717DC"/>
    <w:rsid w:val="00B717F5"/>
    <w:rsid w:val="00B7260F"/>
    <w:rsid w:val="00B728A5"/>
    <w:rsid w:val="00B7365A"/>
    <w:rsid w:val="00B73C08"/>
    <w:rsid w:val="00B73C77"/>
    <w:rsid w:val="00B74CCF"/>
    <w:rsid w:val="00B75623"/>
    <w:rsid w:val="00B7593D"/>
    <w:rsid w:val="00B75A96"/>
    <w:rsid w:val="00B75C2D"/>
    <w:rsid w:val="00B75CDA"/>
    <w:rsid w:val="00B76237"/>
    <w:rsid w:val="00B764AA"/>
    <w:rsid w:val="00B764BC"/>
    <w:rsid w:val="00B76776"/>
    <w:rsid w:val="00B800EB"/>
    <w:rsid w:val="00B806E3"/>
    <w:rsid w:val="00B80AB4"/>
    <w:rsid w:val="00B813CA"/>
    <w:rsid w:val="00B81DD9"/>
    <w:rsid w:val="00B81E80"/>
    <w:rsid w:val="00B82DAE"/>
    <w:rsid w:val="00B83886"/>
    <w:rsid w:val="00B847C8"/>
    <w:rsid w:val="00B848BA"/>
    <w:rsid w:val="00B84D46"/>
    <w:rsid w:val="00B84FD8"/>
    <w:rsid w:val="00B852E0"/>
    <w:rsid w:val="00B85DEC"/>
    <w:rsid w:val="00B8609C"/>
    <w:rsid w:val="00B8638B"/>
    <w:rsid w:val="00B86589"/>
    <w:rsid w:val="00B86CFE"/>
    <w:rsid w:val="00B86EA3"/>
    <w:rsid w:val="00B87186"/>
    <w:rsid w:val="00B8782D"/>
    <w:rsid w:val="00B87D24"/>
    <w:rsid w:val="00B87E74"/>
    <w:rsid w:val="00B90E4B"/>
    <w:rsid w:val="00B917AA"/>
    <w:rsid w:val="00B917DB"/>
    <w:rsid w:val="00B91AE1"/>
    <w:rsid w:val="00B929EF"/>
    <w:rsid w:val="00B93002"/>
    <w:rsid w:val="00B93444"/>
    <w:rsid w:val="00B93B92"/>
    <w:rsid w:val="00B942EC"/>
    <w:rsid w:val="00B94406"/>
    <w:rsid w:val="00B94FCE"/>
    <w:rsid w:val="00B950EB"/>
    <w:rsid w:val="00B95152"/>
    <w:rsid w:val="00B95248"/>
    <w:rsid w:val="00B95F54"/>
    <w:rsid w:val="00B9608E"/>
    <w:rsid w:val="00B9610F"/>
    <w:rsid w:val="00B968FD"/>
    <w:rsid w:val="00B96D27"/>
    <w:rsid w:val="00B976F4"/>
    <w:rsid w:val="00B97E6C"/>
    <w:rsid w:val="00B97FDE"/>
    <w:rsid w:val="00BA00B9"/>
    <w:rsid w:val="00BA089C"/>
    <w:rsid w:val="00BA0DBD"/>
    <w:rsid w:val="00BA13B7"/>
    <w:rsid w:val="00BA197E"/>
    <w:rsid w:val="00BA1DD4"/>
    <w:rsid w:val="00BA2499"/>
    <w:rsid w:val="00BA2871"/>
    <w:rsid w:val="00BA2A89"/>
    <w:rsid w:val="00BA370D"/>
    <w:rsid w:val="00BA3C71"/>
    <w:rsid w:val="00BA3CFB"/>
    <w:rsid w:val="00BA3F42"/>
    <w:rsid w:val="00BA4021"/>
    <w:rsid w:val="00BA415C"/>
    <w:rsid w:val="00BA4638"/>
    <w:rsid w:val="00BA46E5"/>
    <w:rsid w:val="00BA4BFD"/>
    <w:rsid w:val="00BA526A"/>
    <w:rsid w:val="00BA52C6"/>
    <w:rsid w:val="00BA5B2B"/>
    <w:rsid w:val="00BA60FD"/>
    <w:rsid w:val="00BA6628"/>
    <w:rsid w:val="00BA6E61"/>
    <w:rsid w:val="00BA7F6D"/>
    <w:rsid w:val="00BB002E"/>
    <w:rsid w:val="00BB013D"/>
    <w:rsid w:val="00BB04A5"/>
    <w:rsid w:val="00BB0E72"/>
    <w:rsid w:val="00BB19AD"/>
    <w:rsid w:val="00BB1DAE"/>
    <w:rsid w:val="00BB2019"/>
    <w:rsid w:val="00BB2DDE"/>
    <w:rsid w:val="00BB301A"/>
    <w:rsid w:val="00BB33B5"/>
    <w:rsid w:val="00BB45C0"/>
    <w:rsid w:val="00BB50B9"/>
    <w:rsid w:val="00BB54DA"/>
    <w:rsid w:val="00BB554A"/>
    <w:rsid w:val="00BB571A"/>
    <w:rsid w:val="00BB576B"/>
    <w:rsid w:val="00BB5877"/>
    <w:rsid w:val="00BB5C57"/>
    <w:rsid w:val="00BB5D2B"/>
    <w:rsid w:val="00BB6753"/>
    <w:rsid w:val="00BB67E8"/>
    <w:rsid w:val="00BB7978"/>
    <w:rsid w:val="00BC051E"/>
    <w:rsid w:val="00BC13C1"/>
    <w:rsid w:val="00BC281D"/>
    <w:rsid w:val="00BC484A"/>
    <w:rsid w:val="00BC4884"/>
    <w:rsid w:val="00BC4D47"/>
    <w:rsid w:val="00BC502B"/>
    <w:rsid w:val="00BC5A35"/>
    <w:rsid w:val="00BC5F02"/>
    <w:rsid w:val="00BC6373"/>
    <w:rsid w:val="00BC666C"/>
    <w:rsid w:val="00BC667A"/>
    <w:rsid w:val="00BC6D8A"/>
    <w:rsid w:val="00BC7657"/>
    <w:rsid w:val="00BC774B"/>
    <w:rsid w:val="00BD0392"/>
    <w:rsid w:val="00BD03C5"/>
    <w:rsid w:val="00BD09BE"/>
    <w:rsid w:val="00BD1070"/>
    <w:rsid w:val="00BD144F"/>
    <w:rsid w:val="00BD1B64"/>
    <w:rsid w:val="00BD1B83"/>
    <w:rsid w:val="00BD219F"/>
    <w:rsid w:val="00BD2BA2"/>
    <w:rsid w:val="00BD344D"/>
    <w:rsid w:val="00BD378B"/>
    <w:rsid w:val="00BD37F6"/>
    <w:rsid w:val="00BD40C6"/>
    <w:rsid w:val="00BD492A"/>
    <w:rsid w:val="00BD51F7"/>
    <w:rsid w:val="00BD53C6"/>
    <w:rsid w:val="00BD6A8B"/>
    <w:rsid w:val="00BD6B7C"/>
    <w:rsid w:val="00BD71C6"/>
    <w:rsid w:val="00BD7E84"/>
    <w:rsid w:val="00BE00EA"/>
    <w:rsid w:val="00BE0BF9"/>
    <w:rsid w:val="00BE130F"/>
    <w:rsid w:val="00BE174A"/>
    <w:rsid w:val="00BE2363"/>
    <w:rsid w:val="00BE3568"/>
    <w:rsid w:val="00BE3CE2"/>
    <w:rsid w:val="00BE48BC"/>
    <w:rsid w:val="00BE5B95"/>
    <w:rsid w:val="00BE5ED1"/>
    <w:rsid w:val="00BE628C"/>
    <w:rsid w:val="00BE63A8"/>
    <w:rsid w:val="00BE6F45"/>
    <w:rsid w:val="00BE7C57"/>
    <w:rsid w:val="00BE7CC7"/>
    <w:rsid w:val="00BF0705"/>
    <w:rsid w:val="00BF0B5F"/>
    <w:rsid w:val="00BF0ECA"/>
    <w:rsid w:val="00BF1A4D"/>
    <w:rsid w:val="00BF2681"/>
    <w:rsid w:val="00BF2F95"/>
    <w:rsid w:val="00BF3617"/>
    <w:rsid w:val="00BF4356"/>
    <w:rsid w:val="00BF496C"/>
    <w:rsid w:val="00BF49FC"/>
    <w:rsid w:val="00BF5036"/>
    <w:rsid w:val="00BF5B83"/>
    <w:rsid w:val="00C009E1"/>
    <w:rsid w:val="00C00CA2"/>
    <w:rsid w:val="00C01366"/>
    <w:rsid w:val="00C013EF"/>
    <w:rsid w:val="00C015F7"/>
    <w:rsid w:val="00C02E01"/>
    <w:rsid w:val="00C02E05"/>
    <w:rsid w:val="00C03886"/>
    <w:rsid w:val="00C04AF2"/>
    <w:rsid w:val="00C05686"/>
    <w:rsid w:val="00C05AD9"/>
    <w:rsid w:val="00C060F5"/>
    <w:rsid w:val="00C0625A"/>
    <w:rsid w:val="00C06448"/>
    <w:rsid w:val="00C07487"/>
    <w:rsid w:val="00C07549"/>
    <w:rsid w:val="00C07A09"/>
    <w:rsid w:val="00C10960"/>
    <w:rsid w:val="00C10D49"/>
    <w:rsid w:val="00C116A0"/>
    <w:rsid w:val="00C118E6"/>
    <w:rsid w:val="00C11AC1"/>
    <w:rsid w:val="00C11D4A"/>
    <w:rsid w:val="00C11E54"/>
    <w:rsid w:val="00C12069"/>
    <w:rsid w:val="00C123EC"/>
    <w:rsid w:val="00C12694"/>
    <w:rsid w:val="00C12FC8"/>
    <w:rsid w:val="00C1360F"/>
    <w:rsid w:val="00C14277"/>
    <w:rsid w:val="00C14451"/>
    <w:rsid w:val="00C14A41"/>
    <w:rsid w:val="00C15823"/>
    <w:rsid w:val="00C16ECB"/>
    <w:rsid w:val="00C1703F"/>
    <w:rsid w:val="00C17655"/>
    <w:rsid w:val="00C17D63"/>
    <w:rsid w:val="00C20571"/>
    <w:rsid w:val="00C20F2D"/>
    <w:rsid w:val="00C214F0"/>
    <w:rsid w:val="00C216B3"/>
    <w:rsid w:val="00C21837"/>
    <w:rsid w:val="00C21930"/>
    <w:rsid w:val="00C22C1A"/>
    <w:rsid w:val="00C23152"/>
    <w:rsid w:val="00C236B2"/>
    <w:rsid w:val="00C24148"/>
    <w:rsid w:val="00C2474F"/>
    <w:rsid w:val="00C250C4"/>
    <w:rsid w:val="00C255C9"/>
    <w:rsid w:val="00C25C9E"/>
    <w:rsid w:val="00C25D9D"/>
    <w:rsid w:val="00C25F46"/>
    <w:rsid w:val="00C26C80"/>
    <w:rsid w:val="00C27508"/>
    <w:rsid w:val="00C27601"/>
    <w:rsid w:val="00C30C7D"/>
    <w:rsid w:val="00C310ED"/>
    <w:rsid w:val="00C316B1"/>
    <w:rsid w:val="00C32CFC"/>
    <w:rsid w:val="00C32FAA"/>
    <w:rsid w:val="00C33C87"/>
    <w:rsid w:val="00C33E49"/>
    <w:rsid w:val="00C34219"/>
    <w:rsid w:val="00C345E8"/>
    <w:rsid w:val="00C345F2"/>
    <w:rsid w:val="00C351A9"/>
    <w:rsid w:val="00C352E1"/>
    <w:rsid w:val="00C35945"/>
    <w:rsid w:val="00C35D3E"/>
    <w:rsid w:val="00C36711"/>
    <w:rsid w:val="00C36F15"/>
    <w:rsid w:val="00C37999"/>
    <w:rsid w:val="00C40100"/>
    <w:rsid w:val="00C41064"/>
    <w:rsid w:val="00C42270"/>
    <w:rsid w:val="00C42338"/>
    <w:rsid w:val="00C42DB3"/>
    <w:rsid w:val="00C435B8"/>
    <w:rsid w:val="00C43638"/>
    <w:rsid w:val="00C439F2"/>
    <w:rsid w:val="00C43CA4"/>
    <w:rsid w:val="00C43DB6"/>
    <w:rsid w:val="00C43E03"/>
    <w:rsid w:val="00C4463F"/>
    <w:rsid w:val="00C44698"/>
    <w:rsid w:val="00C451C7"/>
    <w:rsid w:val="00C453DE"/>
    <w:rsid w:val="00C45475"/>
    <w:rsid w:val="00C45953"/>
    <w:rsid w:val="00C45A6A"/>
    <w:rsid w:val="00C45FE4"/>
    <w:rsid w:val="00C47593"/>
    <w:rsid w:val="00C514D0"/>
    <w:rsid w:val="00C51E50"/>
    <w:rsid w:val="00C52180"/>
    <w:rsid w:val="00C526CE"/>
    <w:rsid w:val="00C52A3D"/>
    <w:rsid w:val="00C5349A"/>
    <w:rsid w:val="00C5382B"/>
    <w:rsid w:val="00C540F3"/>
    <w:rsid w:val="00C54B1D"/>
    <w:rsid w:val="00C5550B"/>
    <w:rsid w:val="00C5579F"/>
    <w:rsid w:val="00C55F33"/>
    <w:rsid w:val="00C563E8"/>
    <w:rsid w:val="00C56968"/>
    <w:rsid w:val="00C56EFD"/>
    <w:rsid w:val="00C579C7"/>
    <w:rsid w:val="00C57F60"/>
    <w:rsid w:val="00C60110"/>
    <w:rsid w:val="00C61035"/>
    <w:rsid w:val="00C61427"/>
    <w:rsid w:val="00C6162B"/>
    <w:rsid w:val="00C61DD0"/>
    <w:rsid w:val="00C62572"/>
    <w:rsid w:val="00C62AC3"/>
    <w:rsid w:val="00C632A6"/>
    <w:rsid w:val="00C64610"/>
    <w:rsid w:val="00C6470C"/>
    <w:rsid w:val="00C654DC"/>
    <w:rsid w:val="00C66489"/>
    <w:rsid w:val="00C66527"/>
    <w:rsid w:val="00C66871"/>
    <w:rsid w:val="00C66AE2"/>
    <w:rsid w:val="00C6761C"/>
    <w:rsid w:val="00C67CB5"/>
    <w:rsid w:val="00C70703"/>
    <w:rsid w:val="00C72D59"/>
    <w:rsid w:val="00C73573"/>
    <w:rsid w:val="00C736DD"/>
    <w:rsid w:val="00C738B7"/>
    <w:rsid w:val="00C73947"/>
    <w:rsid w:val="00C741E9"/>
    <w:rsid w:val="00C7463A"/>
    <w:rsid w:val="00C747B9"/>
    <w:rsid w:val="00C752AA"/>
    <w:rsid w:val="00C752E2"/>
    <w:rsid w:val="00C77484"/>
    <w:rsid w:val="00C80220"/>
    <w:rsid w:val="00C810B3"/>
    <w:rsid w:val="00C8164C"/>
    <w:rsid w:val="00C81CBF"/>
    <w:rsid w:val="00C81F88"/>
    <w:rsid w:val="00C821A1"/>
    <w:rsid w:val="00C82345"/>
    <w:rsid w:val="00C824A8"/>
    <w:rsid w:val="00C82725"/>
    <w:rsid w:val="00C829D6"/>
    <w:rsid w:val="00C82B00"/>
    <w:rsid w:val="00C82C43"/>
    <w:rsid w:val="00C83226"/>
    <w:rsid w:val="00C83333"/>
    <w:rsid w:val="00C83BD5"/>
    <w:rsid w:val="00C83CA8"/>
    <w:rsid w:val="00C84995"/>
    <w:rsid w:val="00C84CD6"/>
    <w:rsid w:val="00C8556A"/>
    <w:rsid w:val="00C8664B"/>
    <w:rsid w:val="00C866DA"/>
    <w:rsid w:val="00C8675F"/>
    <w:rsid w:val="00C86A87"/>
    <w:rsid w:val="00C86F29"/>
    <w:rsid w:val="00C87D22"/>
    <w:rsid w:val="00C87F8E"/>
    <w:rsid w:val="00C91349"/>
    <w:rsid w:val="00C919F2"/>
    <w:rsid w:val="00C91B0E"/>
    <w:rsid w:val="00C91BF5"/>
    <w:rsid w:val="00C93131"/>
    <w:rsid w:val="00C9385B"/>
    <w:rsid w:val="00C94FB4"/>
    <w:rsid w:val="00C97D80"/>
    <w:rsid w:val="00C97EC0"/>
    <w:rsid w:val="00CA0260"/>
    <w:rsid w:val="00CA17B0"/>
    <w:rsid w:val="00CA17C1"/>
    <w:rsid w:val="00CA2506"/>
    <w:rsid w:val="00CA2939"/>
    <w:rsid w:val="00CA2E74"/>
    <w:rsid w:val="00CA4617"/>
    <w:rsid w:val="00CA4753"/>
    <w:rsid w:val="00CA4972"/>
    <w:rsid w:val="00CA5133"/>
    <w:rsid w:val="00CA6FEA"/>
    <w:rsid w:val="00CA70BF"/>
    <w:rsid w:val="00CA732F"/>
    <w:rsid w:val="00CA73FD"/>
    <w:rsid w:val="00CB0CB7"/>
    <w:rsid w:val="00CB0E1C"/>
    <w:rsid w:val="00CB1760"/>
    <w:rsid w:val="00CB18B3"/>
    <w:rsid w:val="00CB218A"/>
    <w:rsid w:val="00CB26BB"/>
    <w:rsid w:val="00CB2882"/>
    <w:rsid w:val="00CB2D60"/>
    <w:rsid w:val="00CB4F38"/>
    <w:rsid w:val="00CB539B"/>
    <w:rsid w:val="00CB6428"/>
    <w:rsid w:val="00CB733A"/>
    <w:rsid w:val="00CB7757"/>
    <w:rsid w:val="00CC0561"/>
    <w:rsid w:val="00CC0A20"/>
    <w:rsid w:val="00CC0B32"/>
    <w:rsid w:val="00CC1B80"/>
    <w:rsid w:val="00CC22CB"/>
    <w:rsid w:val="00CC2335"/>
    <w:rsid w:val="00CC2589"/>
    <w:rsid w:val="00CC314B"/>
    <w:rsid w:val="00CC388B"/>
    <w:rsid w:val="00CC39AA"/>
    <w:rsid w:val="00CC39FF"/>
    <w:rsid w:val="00CC3B56"/>
    <w:rsid w:val="00CC402F"/>
    <w:rsid w:val="00CC56E1"/>
    <w:rsid w:val="00CC58AB"/>
    <w:rsid w:val="00CC58B3"/>
    <w:rsid w:val="00CC5F7F"/>
    <w:rsid w:val="00CC69F7"/>
    <w:rsid w:val="00CC77AC"/>
    <w:rsid w:val="00CC7A16"/>
    <w:rsid w:val="00CD025C"/>
    <w:rsid w:val="00CD0977"/>
    <w:rsid w:val="00CD0A42"/>
    <w:rsid w:val="00CD17EE"/>
    <w:rsid w:val="00CD1F81"/>
    <w:rsid w:val="00CD1F85"/>
    <w:rsid w:val="00CD30C2"/>
    <w:rsid w:val="00CD3304"/>
    <w:rsid w:val="00CD37E5"/>
    <w:rsid w:val="00CD3EAE"/>
    <w:rsid w:val="00CD4F6F"/>
    <w:rsid w:val="00CD529D"/>
    <w:rsid w:val="00CD5E5E"/>
    <w:rsid w:val="00CD6195"/>
    <w:rsid w:val="00CD68AB"/>
    <w:rsid w:val="00CD6AD0"/>
    <w:rsid w:val="00CD7335"/>
    <w:rsid w:val="00CD7504"/>
    <w:rsid w:val="00CD7B23"/>
    <w:rsid w:val="00CD7C85"/>
    <w:rsid w:val="00CE0CEC"/>
    <w:rsid w:val="00CE1068"/>
    <w:rsid w:val="00CE107D"/>
    <w:rsid w:val="00CE116B"/>
    <w:rsid w:val="00CE174B"/>
    <w:rsid w:val="00CE1883"/>
    <w:rsid w:val="00CE1DC2"/>
    <w:rsid w:val="00CE25C7"/>
    <w:rsid w:val="00CE3551"/>
    <w:rsid w:val="00CE383F"/>
    <w:rsid w:val="00CE404D"/>
    <w:rsid w:val="00CE4A70"/>
    <w:rsid w:val="00CE4BB2"/>
    <w:rsid w:val="00CE4D9F"/>
    <w:rsid w:val="00CE5390"/>
    <w:rsid w:val="00CE5481"/>
    <w:rsid w:val="00CE59D5"/>
    <w:rsid w:val="00CE601B"/>
    <w:rsid w:val="00CE6FB0"/>
    <w:rsid w:val="00CE7130"/>
    <w:rsid w:val="00CE74A1"/>
    <w:rsid w:val="00CE785C"/>
    <w:rsid w:val="00CE7D58"/>
    <w:rsid w:val="00CF0814"/>
    <w:rsid w:val="00CF0EDD"/>
    <w:rsid w:val="00CF1735"/>
    <w:rsid w:val="00CF1AE1"/>
    <w:rsid w:val="00CF1B66"/>
    <w:rsid w:val="00CF20B1"/>
    <w:rsid w:val="00CF2219"/>
    <w:rsid w:val="00CF2828"/>
    <w:rsid w:val="00CF46E9"/>
    <w:rsid w:val="00CF4CD1"/>
    <w:rsid w:val="00CF523C"/>
    <w:rsid w:val="00CF78A4"/>
    <w:rsid w:val="00CF7DEB"/>
    <w:rsid w:val="00D007C4"/>
    <w:rsid w:val="00D00DA5"/>
    <w:rsid w:val="00D010C4"/>
    <w:rsid w:val="00D01983"/>
    <w:rsid w:val="00D0204F"/>
    <w:rsid w:val="00D02165"/>
    <w:rsid w:val="00D02D30"/>
    <w:rsid w:val="00D04DBC"/>
    <w:rsid w:val="00D04F49"/>
    <w:rsid w:val="00D055A0"/>
    <w:rsid w:val="00D055FB"/>
    <w:rsid w:val="00D0674E"/>
    <w:rsid w:val="00D06C3B"/>
    <w:rsid w:val="00D06C4D"/>
    <w:rsid w:val="00D07894"/>
    <w:rsid w:val="00D0793F"/>
    <w:rsid w:val="00D10072"/>
    <w:rsid w:val="00D117B3"/>
    <w:rsid w:val="00D11A13"/>
    <w:rsid w:val="00D1364B"/>
    <w:rsid w:val="00D13802"/>
    <w:rsid w:val="00D138E0"/>
    <w:rsid w:val="00D13970"/>
    <w:rsid w:val="00D142E5"/>
    <w:rsid w:val="00D14356"/>
    <w:rsid w:val="00D14377"/>
    <w:rsid w:val="00D147BA"/>
    <w:rsid w:val="00D149CD"/>
    <w:rsid w:val="00D14D82"/>
    <w:rsid w:val="00D1531B"/>
    <w:rsid w:val="00D15BF8"/>
    <w:rsid w:val="00D15FF4"/>
    <w:rsid w:val="00D169FC"/>
    <w:rsid w:val="00D176C3"/>
    <w:rsid w:val="00D2096E"/>
    <w:rsid w:val="00D21181"/>
    <w:rsid w:val="00D21229"/>
    <w:rsid w:val="00D21600"/>
    <w:rsid w:val="00D21AD5"/>
    <w:rsid w:val="00D2263C"/>
    <w:rsid w:val="00D23B3E"/>
    <w:rsid w:val="00D24560"/>
    <w:rsid w:val="00D24BDF"/>
    <w:rsid w:val="00D2501B"/>
    <w:rsid w:val="00D2559F"/>
    <w:rsid w:val="00D25893"/>
    <w:rsid w:val="00D25A4F"/>
    <w:rsid w:val="00D25B51"/>
    <w:rsid w:val="00D25EAA"/>
    <w:rsid w:val="00D2688A"/>
    <w:rsid w:val="00D268A0"/>
    <w:rsid w:val="00D26B96"/>
    <w:rsid w:val="00D26E27"/>
    <w:rsid w:val="00D2741E"/>
    <w:rsid w:val="00D2766F"/>
    <w:rsid w:val="00D276B4"/>
    <w:rsid w:val="00D27915"/>
    <w:rsid w:val="00D27BF4"/>
    <w:rsid w:val="00D27FF5"/>
    <w:rsid w:val="00D3009D"/>
    <w:rsid w:val="00D30210"/>
    <w:rsid w:val="00D307B3"/>
    <w:rsid w:val="00D31490"/>
    <w:rsid w:val="00D3159B"/>
    <w:rsid w:val="00D320D0"/>
    <w:rsid w:val="00D323B0"/>
    <w:rsid w:val="00D32537"/>
    <w:rsid w:val="00D3292C"/>
    <w:rsid w:val="00D32B96"/>
    <w:rsid w:val="00D331BA"/>
    <w:rsid w:val="00D33311"/>
    <w:rsid w:val="00D3398B"/>
    <w:rsid w:val="00D33990"/>
    <w:rsid w:val="00D339DE"/>
    <w:rsid w:val="00D344A5"/>
    <w:rsid w:val="00D34877"/>
    <w:rsid w:val="00D3541B"/>
    <w:rsid w:val="00D3754C"/>
    <w:rsid w:val="00D37942"/>
    <w:rsid w:val="00D40860"/>
    <w:rsid w:val="00D4181E"/>
    <w:rsid w:val="00D42760"/>
    <w:rsid w:val="00D42E5F"/>
    <w:rsid w:val="00D43285"/>
    <w:rsid w:val="00D43A66"/>
    <w:rsid w:val="00D43B2F"/>
    <w:rsid w:val="00D43F9A"/>
    <w:rsid w:val="00D447E8"/>
    <w:rsid w:val="00D4528A"/>
    <w:rsid w:val="00D45AB2"/>
    <w:rsid w:val="00D45F03"/>
    <w:rsid w:val="00D464C8"/>
    <w:rsid w:val="00D46D0C"/>
    <w:rsid w:val="00D5020D"/>
    <w:rsid w:val="00D50427"/>
    <w:rsid w:val="00D504FA"/>
    <w:rsid w:val="00D50FB8"/>
    <w:rsid w:val="00D51463"/>
    <w:rsid w:val="00D51FAF"/>
    <w:rsid w:val="00D52B53"/>
    <w:rsid w:val="00D53247"/>
    <w:rsid w:val="00D53CA9"/>
    <w:rsid w:val="00D53FAA"/>
    <w:rsid w:val="00D5410A"/>
    <w:rsid w:val="00D54142"/>
    <w:rsid w:val="00D54920"/>
    <w:rsid w:val="00D54F3D"/>
    <w:rsid w:val="00D5629F"/>
    <w:rsid w:val="00D5701E"/>
    <w:rsid w:val="00D5794F"/>
    <w:rsid w:val="00D57955"/>
    <w:rsid w:val="00D57DEF"/>
    <w:rsid w:val="00D60066"/>
    <w:rsid w:val="00D6113E"/>
    <w:rsid w:val="00D61F92"/>
    <w:rsid w:val="00D6217A"/>
    <w:rsid w:val="00D6261E"/>
    <w:rsid w:val="00D62B35"/>
    <w:rsid w:val="00D62B4E"/>
    <w:rsid w:val="00D634CD"/>
    <w:rsid w:val="00D6351D"/>
    <w:rsid w:val="00D63773"/>
    <w:rsid w:val="00D645A1"/>
    <w:rsid w:val="00D64FDC"/>
    <w:rsid w:val="00D65660"/>
    <w:rsid w:val="00D65EC1"/>
    <w:rsid w:val="00D65EC9"/>
    <w:rsid w:val="00D66410"/>
    <w:rsid w:val="00D66C0E"/>
    <w:rsid w:val="00D676DD"/>
    <w:rsid w:val="00D67CC3"/>
    <w:rsid w:val="00D67D76"/>
    <w:rsid w:val="00D7029B"/>
    <w:rsid w:val="00D704F7"/>
    <w:rsid w:val="00D7050A"/>
    <w:rsid w:val="00D7099D"/>
    <w:rsid w:val="00D70C55"/>
    <w:rsid w:val="00D7129B"/>
    <w:rsid w:val="00D71896"/>
    <w:rsid w:val="00D723D8"/>
    <w:rsid w:val="00D728A7"/>
    <w:rsid w:val="00D72E2B"/>
    <w:rsid w:val="00D7309D"/>
    <w:rsid w:val="00D73643"/>
    <w:rsid w:val="00D73A32"/>
    <w:rsid w:val="00D73A3C"/>
    <w:rsid w:val="00D73B54"/>
    <w:rsid w:val="00D74507"/>
    <w:rsid w:val="00D7513A"/>
    <w:rsid w:val="00D761A3"/>
    <w:rsid w:val="00D7648D"/>
    <w:rsid w:val="00D769FE"/>
    <w:rsid w:val="00D76C8B"/>
    <w:rsid w:val="00D76CAD"/>
    <w:rsid w:val="00D77002"/>
    <w:rsid w:val="00D773E6"/>
    <w:rsid w:val="00D80175"/>
    <w:rsid w:val="00D803A4"/>
    <w:rsid w:val="00D803FE"/>
    <w:rsid w:val="00D805D3"/>
    <w:rsid w:val="00D80BB0"/>
    <w:rsid w:val="00D81069"/>
    <w:rsid w:val="00D810A7"/>
    <w:rsid w:val="00D8125D"/>
    <w:rsid w:val="00D81543"/>
    <w:rsid w:val="00D81DDA"/>
    <w:rsid w:val="00D820B0"/>
    <w:rsid w:val="00D82623"/>
    <w:rsid w:val="00D8263C"/>
    <w:rsid w:val="00D82DF8"/>
    <w:rsid w:val="00D84360"/>
    <w:rsid w:val="00D843AB"/>
    <w:rsid w:val="00D84CA9"/>
    <w:rsid w:val="00D84FFB"/>
    <w:rsid w:val="00D86B35"/>
    <w:rsid w:val="00D87A8C"/>
    <w:rsid w:val="00D90920"/>
    <w:rsid w:val="00D90B09"/>
    <w:rsid w:val="00D91547"/>
    <w:rsid w:val="00D922E1"/>
    <w:rsid w:val="00D93844"/>
    <w:rsid w:val="00D939BF"/>
    <w:rsid w:val="00D94078"/>
    <w:rsid w:val="00D9411D"/>
    <w:rsid w:val="00D943BB"/>
    <w:rsid w:val="00D94809"/>
    <w:rsid w:val="00D948E8"/>
    <w:rsid w:val="00D94AB3"/>
    <w:rsid w:val="00D94D10"/>
    <w:rsid w:val="00D95220"/>
    <w:rsid w:val="00D95C20"/>
    <w:rsid w:val="00D9781F"/>
    <w:rsid w:val="00D97CF7"/>
    <w:rsid w:val="00D97FBD"/>
    <w:rsid w:val="00DA0071"/>
    <w:rsid w:val="00DA0817"/>
    <w:rsid w:val="00DA0F8A"/>
    <w:rsid w:val="00DA0F9C"/>
    <w:rsid w:val="00DA1073"/>
    <w:rsid w:val="00DA1B3E"/>
    <w:rsid w:val="00DA1B8A"/>
    <w:rsid w:val="00DA1C4A"/>
    <w:rsid w:val="00DA2104"/>
    <w:rsid w:val="00DA216D"/>
    <w:rsid w:val="00DA2D79"/>
    <w:rsid w:val="00DA2F50"/>
    <w:rsid w:val="00DA32EB"/>
    <w:rsid w:val="00DA39E6"/>
    <w:rsid w:val="00DA3ADA"/>
    <w:rsid w:val="00DA3FAA"/>
    <w:rsid w:val="00DA4099"/>
    <w:rsid w:val="00DA4653"/>
    <w:rsid w:val="00DA4853"/>
    <w:rsid w:val="00DA5D4A"/>
    <w:rsid w:val="00DA69A3"/>
    <w:rsid w:val="00DA7F12"/>
    <w:rsid w:val="00DB0B0D"/>
    <w:rsid w:val="00DB15CA"/>
    <w:rsid w:val="00DB17C9"/>
    <w:rsid w:val="00DB29A1"/>
    <w:rsid w:val="00DB31AA"/>
    <w:rsid w:val="00DB366C"/>
    <w:rsid w:val="00DB44C2"/>
    <w:rsid w:val="00DB5CDF"/>
    <w:rsid w:val="00DB6103"/>
    <w:rsid w:val="00DB6383"/>
    <w:rsid w:val="00DB638B"/>
    <w:rsid w:val="00DB64A5"/>
    <w:rsid w:val="00DB677D"/>
    <w:rsid w:val="00DB6969"/>
    <w:rsid w:val="00DB7999"/>
    <w:rsid w:val="00DB7F3C"/>
    <w:rsid w:val="00DC0228"/>
    <w:rsid w:val="00DC0372"/>
    <w:rsid w:val="00DC079E"/>
    <w:rsid w:val="00DC104D"/>
    <w:rsid w:val="00DC13E7"/>
    <w:rsid w:val="00DC1D27"/>
    <w:rsid w:val="00DC21D1"/>
    <w:rsid w:val="00DC342C"/>
    <w:rsid w:val="00DC4146"/>
    <w:rsid w:val="00DC4250"/>
    <w:rsid w:val="00DC5482"/>
    <w:rsid w:val="00DC569F"/>
    <w:rsid w:val="00DC63C3"/>
    <w:rsid w:val="00DC721B"/>
    <w:rsid w:val="00DC727F"/>
    <w:rsid w:val="00DD0271"/>
    <w:rsid w:val="00DD12EA"/>
    <w:rsid w:val="00DD1B3D"/>
    <w:rsid w:val="00DD2271"/>
    <w:rsid w:val="00DD35EF"/>
    <w:rsid w:val="00DD3860"/>
    <w:rsid w:val="00DD42D0"/>
    <w:rsid w:val="00DD484B"/>
    <w:rsid w:val="00DD4CFD"/>
    <w:rsid w:val="00DD4E21"/>
    <w:rsid w:val="00DD58FC"/>
    <w:rsid w:val="00DD69BF"/>
    <w:rsid w:val="00DD6D5D"/>
    <w:rsid w:val="00DD75DE"/>
    <w:rsid w:val="00DD7D10"/>
    <w:rsid w:val="00DE0251"/>
    <w:rsid w:val="00DE045E"/>
    <w:rsid w:val="00DE0475"/>
    <w:rsid w:val="00DE07BE"/>
    <w:rsid w:val="00DE1CB3"/>
    <w:rsid w:val="00DE21FC"/>
    <w:rsid w:val="00DE3132"/>
    <w:rsid w:val="00DE3E82"/>
    <w:rsid w:val="00DE46D0"/>
    <w:rsid w:val="00DE4920"/>
    <w:rsid w:val="00DE5072"/>
    <w:rsid w:val="00DE50F0"/>
    <w:rsid w:val="00DE5217"/>
    <w:rsid w:val="00DE5A41"/>
    <w:rsid w:val="00DE5B33"/>
    <w:rsid w:val="00DE5B44"/>
    <w:rsid w:val="00DE66A0"/>
    <w:rsid w:val="00DE67A9"/>
    <w:rsid w:val="00DE715B"/>
    <w:rsid w:val="00DE782F"/>
    <w:rsid w:val="00DE7959"/>
    <w:rsid w:val="00DF0107"/>
    <w:rsid w:val="00DF0D43"/>
    <w:rsid w:val="00DF1A69"/>
    <w:rsid w:val="00DF28B3"/>
    <w:rsid w:val="00DF37EB"/>
    <w:rsid w:val="00DF4939"/>
    <w:rsid w:val="00DF5A3B"/>
    <w:rsid w:val="00DF5FE2"/>
    <w:rsid w:val="00DF6678"/>
    <w:rsid w:val="00DF66B0"/>
    <w:rsid w:val="00DF6AEF"/>
    <w:rsid w:val="00DF6E3D"/>
    <w:rsid w:val="00DF763C"/>
    <w:rsid w:val="00DF7C5D"/>
    <w:rsid w:val="00E0052B"/>
    <w:rsid w:val="00E01147"/>
    <w:rsid w:val="00E01DAD"/>
    <w:rsid w:val="00E031B3"/>
    <w:rsid w:val="00E03679"/>
    <w:rsid w:val="00E03F7B"/>
    <w:rsid w:val="00E04482"/>
    <w:rsid w:val="00E044AD"/>
    <w:rsid w:val="00E048D4"/>
    <w:rsid w:val="00E0553E"/>
    <w:rsid w:val="00E06410"/>
    <w:rsid w:val="00E06613"/>
    <w:rsid w:val="00E06B85"/>
    <w:rsid w:val="00E06CFE"/>
    <w:rsid w:val="00E06DAF"/>
    <w:rsid w:val="00E06E41"/>
    <w:rsid w:val="00E07031"/>
    <w:rsid w:val="00E102FA"/>
    <w:rsid w:val="00E11BDC"/>
    <w:rsid w:val="00E1254B"/>
    <w:rsid w:val="00E13200"/>
    <w:rsid w:val="00E1424D"/>
    <w:rsid w:val="00E149F4"/>
    <w:rsid w:val="00E15383"/>
    <w:rsid w:val="00E15510"/>
    <w:rsid w:val="00E1576F"/>
    <w:rsid w:val="00E15FCD"/>
    <w:rsid w:val="00E16F81"/>
    <w:rsid w:val="00E16FEC"/>
    <w:rsid w:val="00E17474"/>
    <w:rsid w:val="00E179DF"/>
    <w:rsid w:val="00E22616"/>
    <w:rsid w:val="00E228B0"/>
    <w:rsid w:val="00E2290E"/>
    <w:rsid w:val="00E23E4E"/>
    <w:rsid w:val="00E24DB1"/>
    <w:rsid w:val="00E251FF"/>
    <w:rsid w:val="00E26B91"/>
    <w:rsid w:val="00E26C3B"/>
    <w:rsid w:val="00E271E3"/>
    <w:rsid w:val="00E273D8"/>
    <w:rsid w:val="00E273FA"/>
    <w:rsid w:val="00E274F0"/>
    <w:rsid w:val="00E278C4"/>
    <w:rsid w:val="00E27BE1"/>
    <w:rsid w:val="00E27D05"/>
    <w:rsid w:val="00E3029A"/>
    <w:rsid w:val="00E303A8"/>
    <w:rsid w:val="00E319E4"/>
    <w:rsid w:val="00E31BB4"/>
    <w:rsid w:val="00E322C7"/>
    <w:rsid w:val="00E32E7C"/>
    <w:rsid w:val="00E33B1F"/>
    <w:rsid w:val="00E34227"/>
    <w:rsid w:val="00E3438E"/>
    <w:rsid w:val="00E3527D"/>
    <w:rsid w:val="00E35B40"/>
    <w:rsid w:val="00E360D9"/>
    <w:rsid w:val="00E365A7"/>
    <w:rsid w:val="00E37F94"/>
    <w:rsid w:val="00E40213"/>
    <w:rsid w:val="00E40420"/>
    <w:rsid w:val="00E404D3"/>
    <w:rsid w:val="00E40D7E"/>
    <w:rsid w:val="00E418E3"/>
    <w:rsid w:val="00E425B1"/>
    <w:rsid w:val="00E42B27"/>
    <w:rsid w:val="00E42C97"/>
    <w:rsid w:val="00E43256"/>
    <w:rsid w:val="00E43A3F"/>
    <w:rsid w:val="00E44240"/>
    <w:rsid w:val="00E44B28"/>
    <w:rsid w:val="00E4500E"/>
    <w:rsid w:val="00E454CB"/>
    <w:rsid w:val="00E45A1C"/>
    <w:rsid w:val="00E4654A"/>
    <w:rsid w:val="00E46818"/>
    <w:rsid w:val="00E468F7"/>
    <w:rsid w:val="00E476C7"/>
    <w:rsid w:val="00E50432"/>
    <w:rsid w:val="00E5074E"/>
    <w:rsid w:val="00E5187B"/>
    <w:rsid w:val="00E51DC0"/>
    <w:rsid w:val="00E51E99"/>
    <w:rsid w:val="00E51FE2"/>
    <w:rsid w:val="00E52F5E"/>
    <w:rsid w:val="00E533EE"/>
    <w:rsid w:val="00E5342A"/>
    <w:rsid w:val="00E54D29"/>
    <w:rsid w:val="00E55977"/>
    <w:rsid w:val="00E55A3A"/>
    <w:rsid w:val="00E55E99"/>
    <w:rsid w:val="00E5637E"/>
    <w:rsid w:val="00E5647B"/>
    <w:rsid w:val="00E5657E"/>
    <w:rsid w:val="00E56EA5"/>
    <w:rsid w:val="00E57421"/>
    <w:rsid w:val="00E5797B"/>
    <w:rsid w:val="00E6017B"/>
    <w:rsid w:val="00E607C1"/>
    <w:rsid w:val="00E60844"/>
    <w:rsid w:val="00E6099E"/>
    <w:rsid w:val="00E61502"/>
    <w:rsid w:val="00E6198A"/>
    <w:rsid w:val="00E619DA"/>
    <w:rsid w:val="00E622BD"/>
    <w:rsid w:val="00E629F9"/>
    <w:rsid w:val="00E62DE4"/>
    <w:rsid w:val="00E62E12"/>
    <w:rsid w:val="00E633E9"/>
    <w:rsid w:val="00E6346A"/>
    <w:rsid w:val="00E63959"/>
    <w:rsid w:val="00E6478A"/>
    <w:rsid w:val="00E64AB7"/>
    <w:rsid w:val="00E64ED5"/>
    <w:rsid w:val="00E66391"/>
    <w:rsid w:val="00E67C4B"/>
    <w:rsid w:val="00E67DE3"/>
    <w:rsid w:val="00E67FB2"/>
    <w:rsid w:val="00E705A2"/>
    <w:rsid w:val="00E70B6C"/>
    <w:rsid w:val="00E7112B"/>
    <w:rsid w:val="00E718A0"/>
    <w:rsid w:val="00E718F2"/>
    <w:rsid w:val="00E71A60"/>
    <w:rsid w:val="00E71AD7"/>
    <w:rsid w:val="00E71CCC"/>
    <w:rsid w:val="00E722D1"/>
    <w:rsid w:val="00E72C4A"/>
    <w:rsid w:val="00E732A9"/>
    <w:rsid w:val="00E73C98"/>
    <w:rsid w:val="00E73E60"/>
    <w:rsid w:val="00E743A5"/>
    <w:rsid w:val="00E74F7E"/>
    <w:rsid w:val="00E75717"/>
    <w:rsid w:val="00E75837"/>
    <w:rsid w:val="00E7739B"/>
    <w:rsid w:val="00E77E48"/>
    <w:rsid w:val="00E8064C"/>
    <w:rsid w:val="00E806AB"/>
    <w:rsid w:val="00E81DDF"/>
    <w:rsid w:val="00E82640"/>
    <w:rsid w:val="00E827F4"/>
    <w:rsid w:val="00E834CC"/>
    <w:rsid w:val="00E83737"/>
    <w:rsid w:val="00E84320"/>
    <w:rsid w:val="00E85E67"/>
    <w:rsid w:val="00E86AD0"/>
    <w:rsid w:val="00E87559"/>
    <w:rsid w:val="00E87801"/>
    <w:rsid w:val="00E90357"/>
    <w:rsid w:val="00E9041A"/>
    <w:rsid w:val="00E9052E"/>
    <w:rsid w:val="00E90611"/>
    <w:rsid w:val="00E908E4"/>
    <w:rsid w:val="00E90C2F"/>
    <w:rsid w:val="00E90C7D"/>
    <w:rsid w:val="00E915A6"/>
    <w:rsid w:val="00E917B0"/>
    <w:rsid w:val="00E9213F"/>
    <w:rsid w:val="00E92235"/>
    <w:rsid w:val="00E9238D"/>
    <w:rsid w:val="00E927DC"/>
    <w:rsid w:val="00E92BDA"/>
    <w:rsid w:val="00E93534"/>
    <w:rsid w:val="00E93D26"/>
    <w:rsid w:val="00E948D2"/>
    <w:rsid w:val="00E94B87"/>
    <w:rsid w:val="00E95235"/>
    <w:rsid w:val="00E95E8D"/>
    <w:rsid w:val="00E977DD"/>
    <w:rsid w:val="00EA2291"/>
    <w:rsid w:val="00EA2ACE"/>
    <w:rsid w:val="00EA2E7A"/>
    <w:rsid w:val="00EA3501"/>
    <w:rsid w:val="00EA3A02"/>
    <w:rsid w:val="00EA3B9E"/>
    <w:rsid w:val="00EA3CEE"/>
    <w:rsid w:val="00EA3E7A"/>
    <w:rsid w:val="00EA439E"/>
    <w:rsid w:val="00EA49CB"/>
    <w:rsid w:val="00EA49E8"/>
    <w:rsid w:val="00EA4FF6"/>
    <w:rsid w:val="00EA564A"/>
    <w:rsid w:val="00EA6048"/>
    <w:rsid w:val="00EA623E"/>
    <w:rsid w:val="00EA624E"/>
    <w:rsid w:val="00EA69F9"/>
    <w:rsid w:val="00EB0D27"/>
    <w:rsid w:val="00EB1021"/>
    <w:rsid w:val="00EB1140"/>
    <w:rsid w:val="00EB11F9"/>
    <w:rsid w:val="00EB218A"/>
    <w:rsid w:val="00EB2388"/>
    <w:rsid w:val="00EB30C7"/>
    <w:rsid w:val="00EB417A"/>
    <w:rsid w:val="00EB4702"/>
    <w:rsid w:val="00EB4A62"/>
    <w:rsid w:val="00EB530B"/>
    <w:rsid w:val="00EB5484"/>
    <w:rsid w:val="00EB54F8"/>
    <w:rsid w:val="00EB6655"/>
    <w:rsid w:val="00EB67F2"/>
    <w:rsid w:val="00EB6EB7"/>
    <w:rsid w:val="00EC0CD4"/>
    <w:rsid w:val="00EC17E4"/>
    <w:rsid w:val="00EC1EED"/>
    <w:rsid w:val="00EC2CA7"/>
    <w:rsid w:val="00EC2CB0"/>
    <w:rsid w:val="00EC3EDD"/>
    <w:rsid w:val="00EC470F"/>
    <w:rsid w:val="00EC4719"/>
    <w:rsid w:val="00EC4868"/>
    <w:rsid w:val="00EC4905"/>
    <w:rsid w:val="00EC4B39"/>
    <w:rsid w:val="00EC5065"/>
    <w:rsid w:val="00EC7406"/>
    <w:rsid w:val="00EC7B3F"/>
    <w:rsid w:val="00ED0136"/>
    <w:rsid w:val="00ED06E7"/>
    <w:rsid w:val="00ED071E"/>
    <w:rsid w:val="00ED0B1D"/>
    <w:rsid w:val="00ED0B60"/>
    <w:rsid w:val="00ED0BCC"/>
    <w:rsid w:val="00ED0CC6"/>
    <w:rsid w:val="00ED0F95"/>
    <w:rsid w:val="00ED1361"/>
    <w:rsid w:val="00ED1D06"/>
    <w:rsid w:val="00ED281F"/>
    <w:rsid w:val="00ED3DFD"/>
    <w:rsid w:val="00ED4193"/>
    <w:rsid w:val="00ED43B6"/>
    <w:rsid w:val="00ED470A"/>
    <w:rsid w:val="00ED4D60"/>
    <w:rsid w:val="00ED4E61"/>
    <w:rsid w:val="00ED4FF5"/>
    <w:rsid w:val="00ED5D98"/>
    <w:rsid w:val="00ED5DC7"/>
    <w:rsid w:val="00ED62EA"/>
    <w:rsid w:val="00EE091A"/>
    <w:rsid w:val="00EE0B4E"/>
    <w:rsid w:val="00EE15CB"/>
    <w:rsid w:val="00EE2361"/>
    <w:rsid w:val="00EE23E4"/>
    <w:rsid w:val="00EE2506"/>
    <w:rsid w:val="00EE2847"/>
    <w:rsid w:val="00EE3246"/>
    <w:rsid w:val="00EE34D1"/>
    <w:rsid w:val="00EE3CB0"/>
    <w:rsid w:val="00EE3FC3"/>
    <w:rsid w:val="00EE4023"/>
    <w:rsid w:val="00EE405D"/>
    <w:rsid w:val="00EE5B5C"/>
    <w:rsid w:val="00EE6516"/>
    <w:rsid w:val="00EE7C71"/>
    <w:rsid w:val="00EE7CD5"/>
    <w:rsid w:val="00EF0BE0"/>
    <w:rsid w:val="00EF0E4F"/>
    <w:rsid w:val="00EF1192"/>
    <w:rsid w:val="00EF28E9"/>
    <w:rsid w:val="00EF2967"/>
    <w:rsid w:val="00EF4715"/>
    <w:rsid w:val="00EF7234"/>
    <w:rsid w:val="00EF7574"/>
    <w:rsid w:val="00F008A7"/>
    <w:rsid w:val="00F01090"/>
    <w:rsid w:val="00F012A3"/>
    <w:rsid w:val="00F01F05"/>
    <w:rsid w:val="00F0235C"/>
    <w:rsid w:val="00F02394"/>
    <w:rsid w:val="00F02A5A"/>
    <w:rsid w:val="00F02CED"/>
    <w:rsid w:val="00F032C9"/>
    <w:rsid w:val="00F04281"/>
    <w:rsid w:val="00F042C9"/>
    <w:rsid w:val="00F04300"/>
    <w:rsid w:val="00F04322"/>
    <w:rsid w:val="00F04FCB"/>
    <w:rsid w:val="00F05040"/>
    <w:rsid w:val="00F05E9D"/>
    <w:rsid w:val="00F065B2"/>
    <w:rsid w:val="00F079ED"/>
    <w:rsid w:val="00F109F9"/>
    <w:rsid w:val="00F10AB8"/>
    <w:rsid w:val="00F10DB5"/>
    <w:rsid w:val="00F11B39"/>
    <w:rsid w:val="00F12667"/>
    <w:rsid w:val="00F131B0"/>
    <w:rsid w:val="00F13E7F"/>
    <w:rsid w:val="00F140B0"/>
    <w:rsid w:val="00F140BF"/>
    <w:rsid w:val="00F15127"/>
    <w:rsid w:val="00F15CFB"/>
    <w:rsid w:val="00F1679B"/>
    <w:rsid w:val="00F1706B"/>
    <w:rsid w:val="00F21DCB"/>
    <w:rsid w:val="00F21EF5"/>
    <w:rsid w:val="00F22122"/>
    <w:rsid w:val="00F22507"/>
    <w:rsid w:val="00F23543"/>
    <w:rsid w:val="00F241E0"/>
    <w:rsid w:val="00F24878"/>
    <w:rsid w:val="00F24B5C"/>
    <w:rsid w:val="00F263EC"/>
    <w:rsid w:val="00F2683F"/>
    <w:rsid w:val="00F26C13"/>
    <w:rsid w:val="00F26D28"/>
    <w:rsid w:val="00F27806"/>
    <w:rsid w:val="00F27BCF"/>
    <w:rsid w:val="00F315FC"/>
    <w:rsid w:val="00F317A0"/>
    <w:rsid w:val="00F31846"/>
    <w:rsid w:val="00F31FD9"/>
    <w:rsid w:val="00F324D8"/>
    <w:rsid w:val="00F32FBA"/>
    <w:rsid w:val="00F33D00"/>
    <w:rsid w:val="00F344E0"/>
    <w:rsid w:val="00F349A9"/>
    <w:rsid w:val="00F35D2E"/>
    <w:rsid w:val="00F36170"/>
    <w:rsid w:val="00F36B02"/>
    <w:rsid w:val="00F375EA"/>
    <w:rsid w:val="00F3765E"/>
    <w:rsid w:val="00F3798A"/>
    <w:rsid w:val="00F401FA"/>
    <w:rsid w:val="00F40C2D"/>
    <w:rsid w:val="00F412EF"/>
    <w:rsid w:val="00F418C3"/>
    <w:rsid w:val="00F41F5A"/>
    <w:rsid w:val="00F43646"/>
    <w:rsid w:val="00F44181"/>
    <w:rsid w:val="00F44B89"/>
    <w:rsid w:val="00F44F90"/>
    <w:rsid w:val="00F451ED"/>
    <w:rsid w:val="00F45AD6"/>
    <w:rsid w:val="00F46100"/>
    <w:rsid w:val="00F46276"/>
    <w:rsid w:val="00F46538"/>
    <w:rsid w:val="00F46C3D"/>
    <w:rsid w:val="00F46ED8"/>
    <w:rsid w:val="00F47A70"/>
    <w:rsid w:val="00F47ED5"/>
    <w:rsid w:val="00F506FB"/>
    <w:rsid w:val="00F50706"/>
    <w:rsid w:val="00F509BC"/>
    <w:rsid w:val="00F509EC"/>
    <w:rsid w:val="00F521F8"/>
    <w:rsid w:val="00F52897"/>
    <w:rsid w:val="00F52B7B"/>
    <w:rsid w:val="00F52C32"/>
    <w:rsid w:val="00F52F5D"/>
    <w:rsid w:val="00F53C0F"/>
    <w:rsid w:val="00F53DAB"/>
    <w:rsid w:val="00F549A9"/>
    <w:rsid w:val="00F5505C"/>
    <w:rsid w:val="00F5509C"/>
    <w:rsid w:val="00F553CF"/>
    <w:rsid w:val="00F55488"/>
    <w:rsid w:val="00F560A2"/>
    <w:rsid w:val="00F56742"/>
    <w:rsid w:val="00F57541"/>
    <w:rsid w:val="00F57799"/>
    <w:rsid w:val="00F60835"/>
    <w:rsid w:val="00F61E6B"/>
    <w:rsid w:val="00F6267F"/>
    <w:rsid w:val="00F63B55"/>
    <w:rsid w:val="00F63D0C"/>
    <w:rsid w:val="00F641B0"/>
    <w:rsid w:val="00F64E86"/>
    <w:rsid w:val="00F65145"/>
    <w:rsid w:val="00F659CE"/>
    <w:rsid w:val="00F666E7"/>
    <w:rsid w:val="00F6691B"/>
    <w:rsid w:val="00F67919"/>
    <w:rsid w:val="00F679E4"/>
    <w:rsid w:val="00F70916"/>
    <w:rsid w:val="00F71056"/>
    <w:rsid w:val="00F71A9A"/>
    <w:rsid w:val="00F71EB7"/>
    <w:rsid w:val="00F72865"/>
    <w:rsid w:val="00F74DDD"/>
    <w:rsid w:val="00F757F3"/>
    <w:rsid w:val="00F75F32"/>
    <w:rsid w:val="00F76147"/>
    <w:rsid w:val="00F763BE"/>
    <w:rsid w:val="00F76C2B"/>
    <w:rsid w:val="00F76F0E"/>
    <w:rsid w:val="00F77B39"/>
    <w:rsid w:val="00F77F7C"/>
    <w:rsid w:val="00F8066D"/>
    <w:rsid w:val="00F80A6E"/>
    <w:rsid w:val="00F81139"/>
    <w:rsid w:val="00F81167"/>
    <w:rsid w:val="00F81CAE"/>
    <w:rsid w:val="00F81D45"/>
    <w:rsid w:val="00F83710"/>
    <w:rsid w:val="00F8371E"/>
    <w:rsid w:val="00F838BE"/>
    <w:rsid w:val="00F83BAC"/>
    <w:rsid w:val="00F847F6"/>
    <w:rsid w:val="00F84967"/>
    <w:rsid w:val="00F849A5"/>
    <w:rsid w:val="00F84A41"/>
    <w:rsid w:val="00F8508F"/>
    <w:rsid w:val="00F8558E"/>
    <w:rsid w:val="00F85733"/>
    <w:rsid w:val="00F86303"/>
    <w:rsid w:val="00F86935"/>
    <w:rsid w:val="00F86A2E"/>
    <w:rsid w:val="00F86CE5"/>
    <w:rsid w:val="00F9056E"/>
    <w:rsid w:val="00F90711"/>
    <w:rsid w:val="00F918ED"/>
    <w:rsid w:val="00F91AF7"/>
    <w:rsid w:val="00F91B05"/>
    <w:rsid w:val="00F923B1"/>
    <w:rsid w:val="00F9269F"/>
    <w:rsid w:val="00F935A2"/>
    <w:rsid w:val="00F936A2"/>
    <w:rsid w:val="00F9444A"/>
    <w:rsid w:val="00F94B65"/>
    <w:rsid w:val="00F94DDF"/>
    <w:rsid w:val="00F94E11"/>
    <w:rsid w:val="00F9670E"/>
    <w:rsid w:val="00F970F7"/>
    <w:rsid w:val="00F971E8"/>
    <w:rsid w:val="00F97532"/>
    <w:rsid w:val="00F97EBC"/>
    <w:rsid w:val="00F97F48"/>
    <w:rsid w:val="00FA0757"/>
    <w:rsid w:val="00FA0CBF"/>
    <w:rsid w:val="00FA0ECA"/>
    <w:rsid w:val="00FA0EEB"/>
    <w:rsid w:val="00FA2C4F"/>
    <w:rsid w:val="00FA348E"/>
    <w:rsid w:val="00FA3A0C"/>
    <w:rsid w:val="00FA48B0"/>
    <w:rsid w:val="00FA4B04"/>
    <w:rsid w:val="00FA4B21"/>
    <w:rsid w:val="00FA4BFB"/>
    <w:rsid w:val="00FA4D2E"/>
    <w:rsid w:val="00FA550F"/>
    <w:rsid w:val="00FA5624"/>
    <w:rsid w:val="00FA5ECF"/>
    <w:rsid w:val="00FA6A40"/>
    <w:rsid w:val="00FA6CB1"/>
    <w:rsid w:val="00FA786A"/>
    <w:rsid w:val="00FA7B2E"/>
    <w:rsid w:val="00FB1EEE"/>
    <w:rsid w:val="00FB1FB3"/>
    <w:rsid w:val="00FB361A"/>
    <w:rsid w:val="00FB3BF4"/>
    <w:rsid w:val="00FB4660"/>
    <w:rsid w:val="00FB4B76"/>
    <w:rsid w:val="00FB4B9B"/>
    <w:rsid w:val="00FB593C"/>
    <w:rsid w:val="00FB6339"/>
    <w:rsid w:val="00FB6389"/>
    <w:rsid w:val="00FB6A3A"/>
    <w:rsid w:val="00FC08D1"/>
    <w:rsid w:val="00FC0903"/>
    <w:rsid w:val="00FC1C62"/>
    <w:rsid w:val="00FC2082"/>
    <w:rsid w:val="00FC290F"/>
    <w:rsid w:val="00FC2C10"/>
    <w:rsid w:val="00FC2D38"/>
    <w:rsid w:val="00FC6E82"/>
    <w:rsid w:val="00FC75FF"/>
    <w:rsid w:val="00FC7CB1"/>
    <w:rsid w:val="00FD04E0"/>
    <w:rsid w:val="00FD0ABE"/>
    <w:rsid w:val="00FD1010"/>
    <w:rsid w:val="00FD11EF"/>
    <w:rsid w:val="00FD135F"/>
    <w:rsid w:val="00FD13C9"/>
    <w:rsid w:val="00FD1D41"/>
    <w:rsid w:val="00FD2808"/>
    <w:rsid w:val="00FD2922"/>
    <w:rsid w:val="00FD2B8C"/>
    <w:rsid w:val="00FD3B00"/>
    <w:rsid w:val="00FD3F52"/>
    <w:rsid w:val="00FD4873"/>
    <w:rsid w:val="00FD5128"/>
    <w:rsid w:val="00FD5F7F"/>
    <w:rsid w:val="00FD605F"/>
    <w:rsid w:val="00FD630E"/>
    <w:rsid w:val="00FD633C"/>
    <w:rsid w:val="00FD66D0"/>
    <w:rsid w:val="00FD6936"/>
    <w:rsid w:val="00FD6C36"/>
    <w:rsid w:val="00FD7A24"/>
    <w:rsid w:val="00FE0BCF"/>
    <w:rsid w:val="00FE169D"/>
    <w:rsid w:val="00FE1860"/>
    <w:rsid w:val="00FE1B2B"/>
    <w:rsid w:val="00FE2348"/>
    <w:rsid w:val="00FE31AB"/>
    <w:rsid w:val="00FE3E08"/>
    <w:rsid w:val="00FE504D"/>
    <w:rsid w:val="00FE5470"/>
    <w:rsid w:val="00FE5AB1"/>
    <w:rsid w:val="00FE5E09"/>
    <w:rsid w:val="00FE5E7F"/>
    <w:rsid w:val="00FE737D"/>
    <w:rsid w:val="00FE7703"/>
    <w:rsid w:val="00FE7704"/>
    <w:rsid w:val="00FE7B51"/>
    <w:rsid w:val="00FF030E"/>
    <w:rsid w:val="00FF090E"/>
    <w:rsid w:val="00FF15D4"/>
    <w:rsid w:val="00FF1704"/>
    <w:rsid w:val="00FF23AC"/>
    <w:rsid w:val="00FF26DF"/>
    <w:rsid w:val="00FF41D3"/>
    <w:rsid w:val="00FF5A95"/>
    <w:rsid w:val="00FF77C0"/>
    <w:rsid w:val="00FF7C9F"/>
    <w:rsid w:val="0127175A"/>
    <w:rsid w:val="01823AAF"/>
    <w:rsid w:val="02107E1C"/>
    <w:rsid w:val="021749A3"/>
    <w:rsid w:val="02C3089D"/>
    <w:rsid w:val="02D36683"/>
    <w:rsid w:val="02F77981"/>
    <w:rsid w:val="02F81480"/>
    <w:rsid w:val="035E0AAD"/>
    <w:rsid w:val="03795DB3"/>
    <w:rsid w:val="05455CCD"/>
    <w:rsid w:val="05B03435"/>
    <w:rsid w:val="066A21A3"/>
    <w:rsid w:val="06EB52DE"/>
    <w:rsid w:val="07727C72"/>
    <w:rsid w:val="0945030D"/>
    <w:rsid w:val="09BB4148"/>
    <w:rsid w:val="09EC7E9C"/>
    <w:rsid w:val="0A464D4C"/>
    <w:rsid w:val="0AFB38EA"/>
    <w:rsid w:val="0BB83968"/>
    <w:rsid w:val="0C936018"/>
    <w:rsid w:val="0DA814CE"/>
    <w:rsid w:val="0F0631DB"/>
    <w:rsid w:val="115C44E9"/>
    <w:rsid w:val="11A72B08"/>
    <w:rsid w:val="13052542"/>
    <w:rsid w:val="13411D80"/>
    <w:rsid w:val="13412F6E"/>
    <w:rsid w:val="137023BC"/>
    <w:rsid w:val="15113F72"/>
    <w:rsid w:val="15312B8E"/>
    <w:rsid w:val="15880E9C"/>
    <w:rsid w:val="159F3C0F"/>
    <w:rsid w:val="18393146"/>
    <w:rsid w:val="19BF0EC9"/>
    <w:rsid w:val="19F23111"/>
    <w:rsid w:val="1A3B541F"/>
    <w:rsid w:val="1A5D4AE9"/>
    <w:rsid w:val="1C255E3A"/>
    <w:rsid w:val="1C903377"/>
    <w:rsid w:val="1D13223F"/>
    <w:rsid w:val="1F2C30AB"/>
    <w:rsid w:val="1F407444"/>
    <w:rsid w:val="21617C91"/>
    <w:rsid w:val="21A02E24"/>
    <w:rsid w:val="22156E7A"/>
    <w:rsid w:val="22EB64CC"/>
    <w:rsid w:val="22EF577D"/>
    <w:rsid w:val="236937F8"/>
    <w:rsid w:val="23DF3E23"/>
    <w:rsid w:val="24920123"/>
    <w:rsid w:val="2536579D"/>
    <w:rsid w:val="272F4304"/>
    <w:rsid w:val="27926927"/>
    <w:rsid w:val="28F35742"/>
    <w:rsid w:val="29C9003C"/>
    <w:rsid w:val="2A071914"/>
    <w:rsid w:val="2A0D404D"/>
    <w:rsid w:val="2B45433E"/>
    <w:rsid w:val="2B685B79"/>
    <w:rsid w:val="2B714703"/>
    <w:rsid w:val="2B8E2027"/>
    <w:rsid w:val="2DCB770B"/>
    <w:rsid w:val="2F2270A3"/>
    <w:rsid w:val="2F4F59D4"/>
    <w:rsid w:val="30DC1269"/>
    <w:rsid w:val="32166517"/>
    <w:rsid w:val="335A4630"/>
    <w:rsid w:val="34E160F8"/>
    <w:rsid w:val="35450619"/>
    <w:rsid w:val="3644012A"/>
    <w:rsid w:val="37AA06DE"/>
    <w:rsid w:val="390B3622"/>
    <w:rsid w:val="391F00BB"/>
    <w:rsid w:val="39A31C9F"/>
    <w:rsid w:val="39A47721"/>
    <w:rsid w:val="3A1E1FCE"/>
    <w:rsid w:val="3A546240"/>
    <w:rsid w:val="3A816A68"/>
    <w:rsid w:val="3CD44576"/>
    <w:rsid w:val="3E214B5E"/>
    <w:rsid w:val="3E5E07DD"/>
    <w:rsid w:val="3E8C363F"/>
    <w:rsid w:val="3ED41958"/>
    <w:rsid w:val="3F716475"/>
    <w:rsid w:val="4026453E"/>
    <w:rsid w:val="40812DC4"/>
    <w:rsid w:val="41B15221"/>
    <w:rsid w:val="42227DB6"/>
    <w:rsid w:val="42654686"/>
    <w:rsid w:val="42827D5A"/>
    <w:rsid w:val="430B098D"/>
    <w:rsid w:val="448308A7"/>
    <w:rsid w:val="455D245B"/>
    <w:rsid w:val="47691ACF"/>
    <w:rsid w:val="482169CD"/>
    <w:rsid w:val="49BD1118"/>
    <w:rsid w:val="4AB51950"/>
    <w:rsid w:val="4B676243"/>
    <w:rsid w:val="4B6B313B"/>
    <w:rsid w:val="4B80320F"/>
    <w:rsid w:val="4BE45CE2"/>
    <w:rsid w:val="4C39624D"/>
    <w:rsid w:val="4C7214CA"/>
    <w:rsid w:val="4CA91C32"/>
    <w:rsid w:val="4DE534EC"/>
    <w:rsid w:val="4EF967E4"/>
    <w:rsid w:val="4F7E5EC6"/>
    <w:rsid w:val="50C9333C"/>
    <w:rsid w:val="522804D5"/>
    <w:rsid w:val="52A720A8"/>
    <w:rsid w:val="52DC4A9E"/>
    <w:rsid w:val="53F03EBC"/>
    <w:rsid w:val="542E2E5A"/>
    <w:rsid w:val="54645BCE"/>
    <w:rsid w:val="54D828EB"/>
    <w:rsid w:val="552E1210"/>
    <w:rsid w:val="55481F27"/>
    <w:rsid w:val="568D320F"/>
    <w:rsid w:val="56E22E78"/>
    <w:rsid w:val="5770282E"/>
    <w:rsid w:val="57834A10"/>
    <w:rsid w:val="58C711BE"/>
    <w:rsid w:val="58C937D8"/>
    <w:rsid w:val="58F629FF"/>
    <w:rsid w:val="5B552952"/>
    <w:rsid w:val="5C3B1D0E"/>
    <w:rsid w:val="5C8A0564"/>
    <w:rsid w:val="5DA06ECD"/>
    <w:rsid w:val="5E8C5F69"/>
    <w:rsid w:val="5ED52859"/>
    <w:rsid w:val="5FE01DDB"/>
    <w:rsid w:val="60DC2F78"/>
    <w:rsid w:val="61AD3AA6"/>
    <w:rsid w:val="61C63F90"/>
    <w:rsid w:val="621A2CF1"/>
    <w:rsid w:val="639B166B"/>
    <w:rsid w:val="64894C6B"/>
    <w:rsid w:val="65E02B77"/>
    <w:rsid w:val="660559CC"/>
    <w:rsid w:val="67CC0793"/>
    <w:rsid w:val="689E1217"/>
    <w:rsid w:val="691E5D78"/>
    <w:rsid w:val="69BA064F"/>
    <w:rsid w:val="69EF049E"/>
    <w:rsid w:val="6A693598"/>
    <w:rsid w:val="6C0F0FC1"/>
    <w:rsid w:val="6C130BDB"/>
    <w:rsid w:val="6C441846"/>
    <w:rsid w:val="6CB30AE5"/>
    <w:rsid w:val="6D332F17"/>
    <w:rsid w:val="6E8F08F1"/>
    <w:rsid w:val="6EB51679"/>
    <w:rsid w:val="6ECD6C81"/>
    <w:rsid w:val="7047245E"/>
    <w:rsid w:val="719E2AF4"/>
    <w:rsid w:val="72980CEA"/>
    <w:rsid w:val="72C3643C"/>
    <w:rsid w:val="73430029"/>
    <w:rsid w:val="735373C0"/>
    <w:rsid w:val="7354185D"/>
    <w:rsid w:val="74EE2A3F"/>
    <w:rsid w:val="76183460"/>
    <w:rsid w:val="76890262"/>
    <w:rsid w:val="79A403D4"/>
    <w:rsid w:val="7D5D6F96"/>
    <w:rsid w:val="7D7A7953"/>
    <w:rsid w:val="7DA958C1"/>
    <w:rsid w:val="7DFD39EA"/>
    <w:rsid w:val="7EAA7269"/>
    <w:rsid w:val="7F514519"/>
    <w:rsid w:val="7FA741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372"/>
    <w:qFormat/>
    <w:uiPriority w:val="0"/>
    <w:pPr>
      <w:keepNext/>
      <w:keepLines/>
      <w:widowControl w:val="0"/>
      <w:tabs>
        <w:tab w:val="left" w:pos="840"/>
      </w:tabs>
      <w:adjustRightInd w:val="0"/>
      <w:snapToGrid w:val="0"/>
      <w:spacing w:line="360" w:lineRule="auto"/>
      <w:jc w:val="both"/>
      <w:outlineLvl w:val="0"/>
    </w:pPr>
    <w:rPr>
      <w:rFonts w:ascii="宋体" w:hAnsi="宋体"/>
      <w:b/>
      <w:kern w:val="44"/>
      <w:sz w:val="24"/>
    </w:rPr>
  </w:style>
  <w:style w:type="paragraph" w:styleId="4">
    <w:name w:val="heading 2"/>
    <w:basedOn w:val="1"/>
    <w:next w:val="1"/>
    <w:link w:val="358"/>
    <w:qFormat/>
    <w:uiPriority w:val="0"/>
    <w:pPr>
      <w:keepNext/>
      <w:keepLines/>
      <w:adjustRightInd w:val="0"/>
      <w:snapToGrid w:val="0"/>
      <w:spacing w:line="360" w:lineRule="auto"/>
      <w:jc w:val="center"/>
      <w:outlineLvl w:val="1"/>
    </w:pPr>
    <w:rPr>
      <w:rFonts w:ascii="宋体" w:hAnsi="Arial" w:cs="Arial"/>
      <w:b/>
      <w:color w:val="000000"/>
      <w:sz w:val="30"/>
      <w:szCs w:val="30"/>
    </w:rPr>
  </w:style>
  <w:style w:type="paragraph" w:styleId="5">
    <w:name w:val="heading 3"/>
    <w:basedOn w:val="1"/>
    <w:next w:val="1"/>
    <w:link w:val="340"/>
    <w:qFormat/>
    <w:uiPriority w:val="0"/>
    <w:pPr>
      <w:widowControl w:val="0"/>
      <w:tabs>
        <w:tab w:val="left" w:pos="851"/>
      </w:tabs>
      <w:autoSpaceDE w:val="0"/>
      <w:autoSpaceDN w:val="0"/>
      <w:adjustRightInd w:val="0"/>
      <w:snapToGrid w:val="0"/>
      <w:spacing w:line="360" w:lineRule="auto"/>
      <w:ind w:left="851" w:hanging="851"/>
      <w:jc w:val="both"/>
      <w:outlineLvl w:val="2"/>
    </w:pPr>
    <w:rPr>
      <w:rFonts w:ascii="宋体"/>
      <w:snapToGrid w:val="0"/>
    </w:rPr>
  </w:style>
  <w:style w:type="paragraph" w:styleId="6">
    <w:name w:val="heading 4"/>
    <w:basedOn w:val="1"/>
    <w:next w:val="7"/>
    <w:link w:val="354"/>
    <w:qFormat/>
    <w:uiPriority w:val="0"/>
    <w:pPr>
      <w:widowControl w:val="0"/>
      <w:tabs>
        <w:tab w:val="left" w:pos="864"/>
      </w:tabs>
      <w:autoSpaceDE w:val="0"/>
      <w:autoSpaceDN w:val="0"/>
      <w:adjustRightInd w:val="0"/>
      <w:snapToGrid w:val="0"/>
      <w:spacing w:line="360" w:lineRule="auto"/>
      <w:ind w:left="864" w:hanging="864"/>
      <w:jc w:val="both"/>
      <w:outlineLvl w:val="3"/>
    </w:pPr>
    <w:rPr>
      <w:rFonts w:ascii="宋体" w:hAnsi="Arial"/>
      <w:snapToGrid w:val="0"/>
      <w:color w:val="000000"/>
    </w:rPr>
  </w:style>
  <w:style w:type="paragraph" w:styleId="8">
    <w:name w:val="heading 5"/>
    <w:basedOn w:val="1"/>
    <w:next w:val="7"/>
    <w:link w:val="295"/>
    <w:qFormat/>
    <w:uiPriority w:val="0"/>
    <w:pPr>
      <w:keepNext/>
      <w:widowControl w:val="0"/>
      <w:tabs>
        <w:tab w:val="left" w:pos="1008"/>
      </w:tabs>
      <w:autoSpaceDE w:val="0"/>
      <w:autoSpaceDN w:val="0"/>
      <w:adjustRightInd w:val="0"/>
      <w:snapToGrid w:val="0"/>
      <w:spacing w:before="280" w:after="290" w:line="376" w:lineRule="auto"/>
      <w:ind w:left="1008" w:hanging="1008"/>
      <w:jc w:val="both"/>
      <w:outlineLvl w:val="4"/>
    </w:pPr>
    <w:rPr>
      <w:rFonts w:ascii="宋体"/>
      <w:b/>
      <w:snapToGrid w:val="0"/>
      <w:color w:val="000000"/>
      <w:sz w:val="28"/>
    </w:rPr>
  </w:style>
  <w:style w:type="paragraph" w:styleId="9">
    <w:name w:val="heading 6"/>
    <w:basedOn w:val="1"/>
    <w:next w:val="7"/>
    <w:link w:val="297"/>
    <w:qFormat/>
    <w:uiPriority w:val="0"/>
    <w:pPr>
      <w:keepNext/>
      <w:widowControl w:val="0"/>
      <w:tabs>
        <w:tab w:val="left" w:pos="1152"/>
      </w:tabs>
      <w:autoSpaceDE w:val="0"/>
      <w:autoSpaceDN w:val="0"/>
      <w:adjustRightInd w:val="0"/>
      <w:snapToGrid w:val="0"/>
      <w:spacing w:before="240" w:after="64" w:line="320" w:lineRule="auto"/>
      <w:ind w:left="1152" w:hanging="1152"/>
      <w:jc w:val="both"/>
      <w:outlineLvl w:val="5"/>
    </w:pPr>
    <w:rPr>
      <w:rFonts w:ascii="Arial" w:hAnsi="Arial" w:eastAsia="黑体"/>
      <w:b/>
      <w:snapToGrid w:val="0"/>
      <w:color w:val="000000"/>
      <w:sz w:val="24"/>
    </w:rPr>
  </w:style>
  <w:style w:type="paragraph" w:styleId="10">
    <w:name w:val="heading 7"/>
    <w:basedOn w:val="1"/>
    <w:next w:val="7"/>
    <w:link w:val="357"/>
    <w:qFormat/>
    <w:uiPriority w:val="0"/>
    <w:pPr>
      <w:keepNext/>
      <w:widowControl w:val="0"/>
      <w:tabs>
        <w:tab w:val="left" w:pos="1296"/>
      </w:tabs>
      <w:autoSpaceDE w:val="0"/>
      <w:autoSpaceDN w:val="0"/>
      <w:adjustRightInd w:val="0"/>
      <w:snapToGrid w:val="0"/>
      <w:spacing w:before="240" w:after="64" w:line="320" w:lineRule="auto"/>
      <w:ind w:left="1296" w:hanging="1296"/>
      <w:jc w:val="both"/>
      <w:outlineLvl w:val="6"/>
    </w:pPr>
    <w:rPr>
      <w:rFonts w:ascii="宋体"/>
      <w:b/>
      <w:snapToGrid w:val="0"/>
      <w:color w:val="000000"/>
      <w:sz w:val="24"/>
    </w:rPr>
  </w:style>
  <w:style w:type="paragraph" w:styleId="11">
    <w:name w:val="heading 8"/>
    <w:basedOn w:val="1"/>
    <w:next w:val="7"/>
    <w:link w:val="290"/>
    <w:qFormat/>
    <w:uiPriority w:val="0"/>
    <w:pPr>
      <w:keepNext/>
      <w:widowControl w:val="0"/>
      <w:tabs>
        <w:tab w:val="left" w:pos="1440"/>
      </w:tabs>
      <w:autoSpaceDE w:val="0"/>
      <w:autoSpaceDN w:val="0"/>
      <w:adjustRightInd w:val="0"/>
      <w:snapToGrid w:val="0"/>
      <w:spacing w:before="240" w:after="64" w:line="320" w:lineRule="auto"/>
      <w:ind w:left="1440" w:hanging="1440"/>
      <w:jc w:val="both"/>
      <w:outlineLvl w:val="7"/>
    </w:pPr>
    <w:rPr>
      <w:rFonts w:ascii="Arial" w:hAnsi="Arial" w:eastAsia="黑体"/>
      <w:snapToGrid w:val="0"/>
      <w:color w:val="000000"/>
      <w:sz w:val="24"/>
    </w:rPr>
  </w:style>
  <w:style w:type="paragraph" w:styleId="12">
    <w:name w:val="heading 9"/>
    <w:basedOn w:val="1"/>
    <w:next w:val="7"/>
    <w:link w:val="302"/>
    <w:qFormat/>
    <w:uiPriority w:val="0"/>
    <w:pPr>
      <w:keepNext/>
      <w:widowControl w:val="0"/>
      <w:tabs>
        <w:tab w:val="left" w:pos="1584"/>
      </w:tabs>
      <w:autoSpaceDE w:val="0"/>
      <w:autoSpaceDN w:val="0"/>
      <w:adjustRightInd w:val="0"/>
      <w:snapToGrid w:val="0"/>
      <w:spacing w:before="240" w:after="64" w:line="320" w:lineRule="auto"/>
      <w:ind w:left="1584" w:hanging="1584"/>
      <w:jc w:val="both"/>
      <w:outlineLvl w:val="8"/>
    </w:pPr>
    <w:rPr>
      <w:rFonts w:ascii="Arial" w:hAnsi="Arial" w:eastAsia="黑体"/>
      <w:snapToGrid w:val="0"/>
      <w:color w:val="000000"/>
    </w:rPr>
  </w:style>
  <w:style w:type="character" w:default="1" w:styleId="47">
    <w:name w:val="Default Paragraph Font"/>
    <w:unhideWhenUsed/>
    <w:qFormat/>
    <w:uiPriority w:val="1"/>
  </w:style>
  <w:style w:type="table" w:default="1" w:styleId="5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369"/>
    <w:qFormat/>
    <w:uiPriority w:val="0"/>
    <w:pPr>
      <w:widowControl w:val="0"/>
      <w:jc w:val="both"/>
    </w:pPr>
    <w:rPr>
      <w:kern w:val="2"/>
      <w:sz w:val="28"/>
    </w:rPr>
  </w:style>
  <w:style w:type="paragraph" w:styleId="7">
    <w:name w:val="Normal Indent"/>
    <w:basedOn w:val="1"/>
    <w:link w:val="306"/>
    <w:qFormat/>
    <w:uiPriority w:val="0"/>
    <w:pPr>
      <w:ind w:left="720"/>
    </w:pPr>
  </w:style>
  <w:style w:type="paragraph" w:styleId="13">
    <w:name w:val="annotation subject"/>
    <w:basedOn w:val="14"/>
    <w:next w:val="14"/>
    <w:link w:val="308"/>
    <w:semiHidden/>
    <w:qFormat/>
    <w:uiPriority w:val="0"/>
    <w:pPr>
      <w:widowControl/>
    </w:pPr>
    <w:rPr>
      <w:b/>
      <w:bCs/>
      <w:kern w:val="0"/>
      <w:szCs w:val="21"/>
    </w:rPr>
  </w:style>
  <w:style w:type="paragraph" w:styleId="14">
    <w:name w:val="annotation text"/>
    <w:basedOn w:val="1"/>
    <w:link w:val="310"/>
    <w:semiHidden/>
    <w:qFormat/>
    <w:uiPriority w:val="0"/>
    <w:pPr>
      <w:widowControl w:val="0"/>
    </w:pPr>
    <w:rPr>
      <w:kern w:val="2"/>
      <w:szCs w:val="24"/>
    </w:rPr>
  </w:style>
  <w:style w:type="paragraph" w:styleId="15">
    <w:name w:val="toc 7"/>
    <w:basedOn w:val="1"/>
    <w:next w:val="1"/>
    <w:semiHidden/>
    <w:qFormat/>
    <w:uiPriority w:val="0"/>
    <w:pPr>
      <w:widowControl w:val="0"/>
      <w:ind w:left="2520"/>
      <w:jc w:val="both"/>
    </w:pPr>
    <w:rPr>
      <w:kern w:val="2"/>
    </w:rPr>
  </w:style>
  <w:style w:type="paragraph" w:styleId="16">
    <w:name w:val="Body Text First Indent"/>
    <w:basedOn w:val="2"/>
    <w:link w:val="324"/>
    <w:qFormat/>
    <w:uiPriority w:val="0"/>
    <w:pPr>
      <w:spacing w:after="120"/>
      <w:ind w:firstLine="420" w:firstLineChars="100"/>
    </w:pPr>
    <w:rPr>
      <w:sz w:val="21"/>
      <w:szCs w:val="24"/>
    </w:rPr>
  </w:style>
  <w:style w:type="paragraph" w:styleId="17">
    <w:name w:val="caption"/>
    <w:basedOn w:val="1"/>
    <w:next w:val="1"/>
    <w:qFormat/>
    <w:uiPriority w:val="0"/>
    <w:pPr>
      <w:widowControl w:val="0"/>
      <w:jc w:val="both"/>
    </w:pPr>
    <w:rPr>
      <w:rFonts w:ascii="Arial" w:hAnsi="Arial" w:eastAsia="黑体" w:cs="Arial"/>
      <w:kern w:val="2"/>
      <w:sz w:val="20"/>
    </w:rPr>
  </w:style>
  <w:style w:type="paragraph" w:styleId="18">
    <w:name w:val="Document Map"/>
    <w:basedOn w:val="1"/>
    <w:link w:val="317"/>
    <w:semiHidden/>
    <w:qFormat/>
    <w:uiPriority w:val="0"/>
    <w:pPr>
      <w:shd w:val="clear" w:color="auto" w:fill="000080"/>
    </w:pPr>
  </w:style>
  <w:style w:type="paragraph" w:styleId="19">
    <w:name w:val="toa heading"/>
    <w:basedOn w:val="1"/>
    <w:next w:val="1"/>
    <w:semiHidden/>
    <w:qFormat/>
    <w:uiPriority w:val="0"/>
    <w:pPr>
      <w:widowControl w:val="0"/>
      <w:autoSpaceDE w:val="0"/>
      <w:autoSpaceDN w:val="0"/>
      <w:adjustRightInd w:val="0"/>
      <w:snapToGrid w:val="0"/>
      <w:spacing w:before="120" w:line="360" w:lineRule="auto"/>
      <w:jc w:val="both"/>
    </w:pPr>
    <w:rPr>
      <w:rFonts w:ascii="Arial" w:hAnsi="Arial"/>
      <w:snapToGrid w:val="0"/>
      <w:color w:val="000000"/>
    </w:rPr>
  </w:style>
  <w:style w:type="paragraph" w:styleId="20">
    <w:name w:val="Body Text 3"/>
    <w:basedOn w:val="1"/>
    <w:link w:val="368"/>
    <w:qFormat/>
    <w:uiPriority w:val="0"/>
    <w:pPr>
      <w:spacing w:after="120"/>
    </w:pPr>
    <w:rPr>
      <w:sz w:val="16"/>
      <w:szCs w:val="16"/>
    </w:rPr>
  </w:style>
  <w:style w:type="paragraph" w:styleId="21">
    <w:name w:val="Body Text Indent"/>
    <w:basedOn w:val="1"/>
    <w:link w:val="328"/>
    <w:qFormat/>
    <w:uiPriority w:val="0"/>
    <w:pPr>
      <w:widowControl w:val="0"/>
      <w:spacing w:line="360" w:lineRule="auto"/>
      <w:ind w:left="-103" w:firstLine="515"/>
      <w:jc w:val="both"/>
    </w:pPr>
    <w:rPr>
      <w:rFonts w:ascii="宋体"/>
      <w:kern w:val="2"/>
      <w:sz w:val="24"/>
    </w:rPr>
  </w:style>
  <w:style w:type="paragraph" w:styleId="22">
    <w:name w:val="Block Text"/>
    <w:basedOn w:val="1"/>
    <w:qFormat/>
    <w:uiPriority w:val="0"/>
    <w:pPr>
      <w:autoSpaceDE w:val="0"/>
      <w:autoSpaceDN w:val="0"/>
      <w:spacing w:line="360" w:lineRule="auto"/>
      <w:ind w:left="315" w:leftChars="150" w:right="-53"/>
      <w:jc w:val="both"/>
      <w:textAlignment w:val="bottom"/>
    </w:pPr>
    <w:rPr>
      <w:kern w:val="2"/>
    </w:rPr>
  </w:style>
  <w:style w:type="paragraph" w:styleId="23">
    <w:name w:val="toc 5"/>
    <w:basedOn w:val="1"/>
    <w:next w:val="1"/>
    <w:semiHidden/>
    <w:qFormat/>
    <w:uiPriority w:val="0"/>
    <w:pPr>
      <w:widowControl w:val="0"/>
      <w:ind w:left="1680"/>
      <w:jc w:val="both"/>
    </w:pPr>
    <w:rPr>
      <w:kern w:val="2"/>
    </w:rPr>
  </w:style>
  <w:style w:type="paragraph" w:styleId="24">
    <w:name w:val="toc 3"/>
    <w:basedOn w:val="1"/>
    <w:next w:val="1"/>
    <w:semiHidden/>
    <w:qFormat/>
    <w:uiPriority w:val="0"/>
    <w:pPr>
      <w:widowControl w:val="0"/>
      <w:tabs>
        <w:tab w:val="right" w:leader="dot" w:pos="9499"/>
      </w:tabs>
      <w:ind w:left="318" w:hanging="105"/>
      <w:jc w:val="both"/>
    </w:pPr>
    <w:rPr>
      <w:kern w:val="2"/>
    </w:rPr>
  </w:style>
  <w:style w:type="paragraph" w:styleId="25">
    <w:name w:val="Plain Text"/>
    <w:basedOn w:val="1"/>
    <w:link w:val="280"/>
    <w:qFormat/>
    <w:uiPriority w:val="0"/>
    <w:pPr>
      <w:widowControl w:val="0"/>
      <w:jc w:val="both"/>
    </w:pPr>
    <w:rPr>
      <w:rFonts w:ascii="宋体" w:hAnsi="Courier New"/>
      <w:kern w:val="2"/>
    </w:rPr>
  </w:style>
  <w:style w:type="paragraph" w:styleId="26">
    <w:name w:val="toc 8"/>
    <w:basedOn w:val="1"/>
    <w:next w:val="1"/>
    <w:semiHidden/>
    <w:qFormat/>
    <w:uiPriority w:val="0"/>
    <w:pPr>
      <w:widowControl w:val="0"/>
      <w:ind w:left="2940"/>
      <w:jc w:val="both"/>
    </w:pPr>
    <w:rPr>
      <w:kern w:val="2"/>
    </w:rPr>
  </w:style>
  <w:style w:type="paragraph" w:styleId="27">
    <w:name w:val="Date"/>
    <w:basedOn w:val="1"/>
    <w:next w:val="1"/>
    <w:link w:val="289"/>
    <w:qFormat/>
    <w:uiPriority w:val="0"/>
    <w:pPr>
      <w:widowControl w:val="0"/>
      <w:jc w:val="both"/>
    </w:pPr>
    <w:rPr>
      <w:rFonts w:ascii="楷体_GB2312" w:eastAsia="楷体_GB2312"/>
      <w:kern w:val="2"/>
      <w:sz w:val="28"/>
    </w:rPr>
  </w:style>
  <w:style w:type="paragraph" w:styleId="28">
    <w:name w:val="Body Text Indent 2"/>
    <w:basedOn w:val="1"/>
    <w:link w:val="346"/>
    <w:qFormat/>
    <w:uiPriority w:val="0"/>
    <w:pPr>
      <w:widowControl w:val="0"/>
      <w:spacing w:line="360" w:lineRule="auto"/>
      <w:ind w:firstLine="420"/>
      <w:jc w:val="both"/>
    </w:pPr>
    <w:rPr>
      <w:kern w:val="2"/>
    </w:rPr>
  </w:style>
  <w:style w:type="paragraph" w:styleId="29">
    <w:name w:val="Balloon Text"/>
    <w:basedOn w:val="1"/>
    <w:link w:val="341"/>
    <w:semiHidden/>
    <w:qFormat/>
    <w:uiPriority w:val="0"/>
    <w:pPr>
      <w:widowControl w:val="0"/>
      <w:jc w:val="both"/>
    </w:pPr>
    <w:rPr>
      <w:kern w:val="2"/>
      <w:sz w:val="18"/>
      <w:szCs w:val="18"/>
    </w:rPr>
  </w:style>
  <w:style w:type="paragraph" w:styleId="30">
    <w:name w:val="footer"/>
    <w:basedOn w:val="1"/>
    <w:link w:val="347"/>
    <w:qFormat/>
    <w:uiPriority w:val="99"/>
    <w:pPr>
      <w:tabs>
        <w:tab w:val="center" w:pos="4153"/>
        <w:tab w:val="right" w:pos="8306"/>
      </w:tabs>
      <w:snapToGrid w:val="0"/>
    </w:pPr>
    <w:rPr>
      <w:sz w:val="18"/>
    </w:rPr>
  </w:style>
  <w:style w:type="paragraph" w:styleId="31">
    <w:name w:val="Body Text First Indent 2"/>
    <w:basedOn w:val="21"/>
    <w:link w:val="286"/>
    <w:qFormat/>
    <w:uiPriority w:val="0"/>
    <w:pPr>
      <w:widowControl/>
      <w:spacing w:after="120" w:line="240" w:lineRule="auto"/>
      <w:ind w:left="420" w:leftChars="200" w:firstLine="420" w:firstLineChars="200"/>
      <w:jc w:val="left"/>
    </w:pPr>
    <w:rPr>
      <w:sz w:val="21"/>
    </w:rPr>
  </w:style>
  <w:style w:type="paragraph" w:styleId="32">
    <w:name w:val="header"/>
    <w:basedOn w:val="1"/>
    <w:link w:val="321"/>
    <w:qFormat/>
    <w:uiPriority w:val="99"/>
    <w:pPr>
      <w:pBdr>
        <w:bottom w:val="single" w:color="auto" w:sz="6" w:space="1"/>
      </w:pBdr>
      <w:tabs>
        <w:tab w:val="center" w:pos="4153"/>
        <w:tab w:val="right" w:pos="8306"/>
      </w:tabs>
      <w:snapToGrid w:val="0"/>
      <w:jc w:val="center"/>
    </w:pPr>
    <w:rPr>
      <w:sz w:val="18"/>
    </w:rPr>
  </w:style>
  <w:style w:type="paragraph" w:styleId="33">
    <w:name w:val="toc 1"/>
    <w:basedOn w:val="1"/>
    <w:next w:val="1"/>
    <w:semiHidden/>
    <w:qFormat/>
    <w:uiPriority w:val="0"/>
    <w:pPr>
      <w:tabs>
        <w:tab w:val="right" w:leader="dot" w:pos="9499"/>
      </w:tabs>
      <w:spacing w:line="360" w:lineRule="auto"/>
    </w:pPr>
    <w:rPr>
      <w:rFonts w:ascii="宋体" w:hAnsi="宋体"/>
      <w:b/>
      <w:bCs/>
      <w:color w:val="000000"/>
      <w:szCs w:val="21"/>
    </w:rPr>
  </w:style>
  <w:style w:type="paragraph" w:styleId="34">
    <w:name w:val="toc 4"/>
    <w:basedOn w:val="1"/>
    <w:next w:val="1"/>
    <w:semiHidden/>
    <w:qFormat/>
    <w:uiPriority w:val="0"/>
    <w:pPr>
      <w:widowControl w:val="0"/>
      <w:ind w:left="1260"/>
      <w:jc w:val="both"/>
    </w:pPr>
    <w:rPr>
      <w:kern w:val="2"/>
    </w:rPr>
  </w:style>
  <w:style w:type="paragraph" w:styleId="35">
    <w:name w:val="index heading"/>
    <w:basedOn w:val="1"/>
    <w:next w:val="36"/>
    <w:qFormat/>
    <w:uiPriority w:val="0"/>
    <w:pPr>
      <w:widowControl w:val="0"/>
      <w:jc w:val="both"/>
    </w:pPr>
    <w:rPr>
      <w:kern w:val="2"/>
    </w:rPr>
  </w:style>
  <w:style w:type="paragraph" w:styleId="36">
    <w:name w:val="index 1"/>
    <w:basedOn w:val="1"/>
    <w:next w:val="1"/>
    <w:semiHidden/>
    <w:qFormat/>
    <w:uiPriority w:val="0"/>
    <w:pPr>
      <w:widowControl w:val="0"/>
      <w:jc w:val="center"/>
    </w:pPr>
    <w:rPr>
      <w:kern w:val="2"/>
      <w:szCs w:val="24"/>
    </w:rPr>
  </w:style>
  <w:style w:type="paragraph" w:styleId="37">
    <w:name w:val="Subtitle"/>
    <w:basedOn w:val="1"/>
    <w:qFormat/>
    <w:uiPriority w:val="0"/>
    <w:pPr>
      <w:widowControl w:val="0"/>
      <w:adjustRightInd w:val="0"/>
      <w:spacing w:after="60" w:line="312" w:lineRule="atLeast"/>
      <w:jc w:val="center"/>
      <w:textAlignment w:val="baseline"/>
    </w:pPr>
    <w:rPr>
      <w:rFonts w:ascii="Arial" w:hAnsi="Arial"/>
      <w:i/>
      <w:sz w:val="24"/>
    </w:rPr>
  </w:style>
  <w:style w:type="paragraph" w:styleId="38">
    <w:name w:val="footnote text"/>
    <w:basedOn w:val="1"/>
    <w:semiHidden/>
    <w:qFormat/>
    <w:uiPriority w:val="0"/>
    <w:pPr>
      <w:widowControl w:val="0"/>
      <w:snapToGrid w:val="0"/>
    </w:pPr>
    <w:rPr>
      <w:kern w:val="2"/>
      <w:sz w:val="18"/>
      <w:szCs w:val="18"/>
    </w:rPr>
  </w:style>
  <w:style w:type="paragraph" w:styleId="39">
    <w:name w:val="toc 6"/>
    <w:basedOn w:val="1"/>
    <w:next w:val="1"/>
    <w:semiHidden/>
    <w:qFormat/>
    <w:uiPriority w:val="0"/>
    <w:pPr>
      <w:widowControl w:val="0"/>
      <w:ind w:left="2100"/>
      <w:jc w:val="both"/>
    </w:pPr>
    <w:rPr>
      <w:kern w:val="2"/>
    </w:rPr>
  </w:style>
  <w:style w:type="paragraph" w:styleId="40">
    <w:name w:val="Body Text Indent 3"/>
    <w:basedOn w:val="1"/>
    <w:link w:val="361"/>
    <w:qFormat/>
    <w:uiPriority w:val="0"/>
    <w:pPr>
      <w:widowControl w:val="0"/>
      <w:spacing w:line="360" w:lineRule="auto"/>
      <w:ind w:left="420"/>
      <w:jc w:val="both"/>
    </w:pPr>
    <w:rPr>
      <w:kern w:val="2"/>
    </w:rPr>
  </w:style>
  <w:style w:type="paragraph" w:styleId="41">
    <w:name w:val="toc 2"/>
    <w:basedOn w:val="1"/>
    <w:next w:val="1"/>
    <w:semiHidden/>
    <w:qFormat/>
    <w:uiPriority w:val="0"/>
    <w:pPr>
      <w:tabs>
        <w:tab w:val="right" w:leader="middleDot" w:pos="9707"/>
      </w:tabs>
      <w:spacing w:line="360" w:lineRule="auto"/>
      <w:ind w:left="420"/>
    </w:pPr>
    <w:rPr>
      <w:rFonts w:ascii="宋体"/>
      <w:sz w:val="24"/>
    </w:rPr>
  </w:style>
  <w:style w:type="paragraph" w:styleId="42">
    <w:name w:val="toc 9"/>
    <w:basedOn w:val="1"/>
    <w:next w:val="1"/>
    <w:semiHidden/>
    <w:qFormat/>
    <w:uiPriority w:val="0"/>
    <w:pPr>
      <w:widowControl w:val="0"/>
      <w:ind w:left="3360"/>
      <w:jc w:val="both"/>
    </w:pPr>
    <w:rPr>
      <w:kern w:val="2"/>
    </w:rPr>
  </w:style>
  <w:style w:type="paragraph" w:styleId="43">
    <w:name w:val="Body Text 2"/>
    <w:basedOn w:val="1"/>
    <w:link w:val="323"/>
    <w:qFormat/>
    <w:uiPriority w:val="0"/>
    <w:pPr>
      <w:spacing w:line="360" w:lineRule="auto"/>
    </w:pPr>
    <w:rPr>
      <w:rFonts w:ascii="宋体" w:hAnsi="宋体"/>
      <w:color w:val="000000"/>
      <w:sz w:val="24"/>
    </w:rPr>
  </w:style>
  <w:style w:type="paragraph" w:styleId="44">
    <w:name w:val="HTML Preformatted"/>
    <w:basedOn w:val="1"/>
    <w:link w:val="334"/>
    <w:qFormat/>
    <w:uiPriority w:val="0"/>
    <w:rPr>
      <w:rFonts w:ascii="黑体" w:hAnsi="Courier New" w:eastAsia="黑体" w:cs="Courier New"/>
      <w:sz w:val="20"/>
      <w:szCs w:val="21"/>
    </w:rPr>
  </w:style>
  <w:style w:type="paragraph" w:styleId="45">
    <w:name w:val="Normal (Web)"/>
    <w:basedOn w:val="1"/>
    <w:qFormat/>
    <w:uiPriority w:val="0"/>
    <w:pPr>
      <w:spacing w:before="100" w:beforeAutospacing="1" w:after="100" w:afterAutospacing="1"/>
    </w:pPr>
    <w:rPr>
      <w:rFonts w:ascii="宋体" w:hAnsi="宋体" w:cs="宋体"/>
      <w:color w:val="000000"/>
      <w:sz w:val="24"/>
      <w:szCs w:val="24"/>
    </w:rPr>
  </w:style>
  <w:style w:type="paragraph" w:styleId="46">
    <w:name w:val="Title"/>
    <w:basedOn w:val="1"/>
    <w:link w:val="375"/>
    <w:qFormat/>
    <w:uiPriority w:val="0"/>
    <w:pPr>
      <w:widowControl w:val="0"/>
      <w:spacing w:before="240" w:after="60"/>
      <w:jc w:val="center"/>
      <w:outlineLvl w:val="0"/>
    </w:pPr>
    <w:rPr>
      <w:rFonts w:ascii="Arial" w:hAnsi="Arial" w:cs="Arial"/>
      <w:b/>
      <w:bCs/>
      <w:kern w:val="2"/>
      <w:sz w:val="32"/>
      <w:szCs w:val="32"/>
    </w:r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Emphasis"/>
    <w:qFormat/>
    <w:uiPriority w:val="0"/>
  </w:style>
  <w:style w:type="character" w:styleId="52">
    <w:name w:val="Hyperlink"/>
    <w:qFormat/>
    <w:uiPriority w:val="0"/>
    <w:rPr>
      <w:color w:val="0000FF"/>
      <w:u w:val="single"/>
    </w:rPr>
  </w:style>
  <w:style w:type="character" w:styleId="53">
    <w:name w:val="annotation reference"/>
    <w:semiHidden/>
    <w:qFormat/>
    <w:uiPriority w:val="0"/>
    <w:rPr>
      <w:sz w:val="21"/>
      <w:szCs w:val="21"/>
    </w:rPr>
  </w:style>
  <w:style w:type="character" w:styleId="54">
    <w:name w:val="footnote reference"/>
    <w:semiHidden/>
    <w:qFormat/>
    <w:uiPriority w:val="0"/>
    <w:rPr>
      <w:vertAlign w:val="superscript"/>
    </w:rPr>
  </w:style>
  <w:style w:type="table" w:styleId="56">
    <w:name w:val="Table Grid"/>
    <w:basedOn w:val="55"/>
    <w:qFormat/>
    <w:uiPriority w:val="0"/>
    <w:pPr>
      <w:widowControl w:val="0"/>
      <w:numPr>
        <w:ilvl w:val="0"/>
        <w:numId w:val="1"/>
      </w:numPr>
      <w:ind w:left="0" w:firstLine="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7">
    <w:name w:val="Table Theme"/>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8">
    <w:name w:val="Table Elegant"/>
    <w:basedOn w:val="5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paragraph" w:customStyle="1" w:styleId="59">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60">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61">
    <w:name w:val="xl68"/>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sz w:val="20"/>
    </w:rPr>
  </w:style>
  <w:style w:type="paragraph" w:customStyle="1" w:styleId="62">
    <w:name w:val="标题 4 +"/>
    <w:basedOn w:val="11"/>
    <w:qFormat/>
    <w:uiPriority w:val="0"/>
    <w:pPr>
      <w:keepLines/>
      <w:adjustRightInd/>
      <w:snapToGrid/>
      <w:ind w:left="0" w:firstLine="0"/>
    </w:pPr>
    <w:rPr>
      <w:color w:val="auto"/>
      <w:szCs w:val="24"/>
    </w:rPr>
  </w:style>
  <w:style w:type="paragraph" w:customStyle="1" w:styleId="63">
    <w:name w:val="目录3"/>
    <w:basedOn w:val="1"/>
    <w:next w:val="1"/>
    <w:qFormat/>
    <w:uiPriority w:val="0"/>
    <w:pPr>
      <w:tabs>
        <w:tab w:val="left" w:leader="dot" w:pos="8503"/>
      </w:tabs>
      <w:spacing w:line="317" w:lineRule="atLeast"/>
      <w:ind w:left="419" w:firstLine="419"/>
      <w:jc w:val="both"/>
      <w:textAlignment w:val="baseline"/>
    </w:pPr>
    <w:rPr>
      <w:color w:val="000000"/>
      <w:u w:val="none" w:color="000000"/>
    </w:rPr>
  </w:style>
  <w:style w:type="paragraph" w:customStyle="1" w:styleId="64">
    <w:name w:val="样式 标题 1- SectionH1卷标题PIM 1h1标书1L1bocSection Headl11H..."/>
    <w:basedOn w:val="3"/>
    <w:qFormat/>
    <w:uiPriority w:val="0"/>
    <w:pPr>
      <w:pageBreakBefore/>
      <w:tabs>
        <w:tab w:val="clear" w:pos="840"/>
      </w:tabs>
      <w:adjustRightInd/>
      <w:snapToGrid/>
      <w:spacing w:before="480" w:after="330"/>
      <w:ind w:left="4385" w:hanging="425"/>
      <w:jc w:val="center"/>
    </w:pPr>
    <w:rPr>
      <w:rFonts w:ascii="Times New Roman" w:hAnsi="Times New Roman" w:cs="宋体"/>
      <w:bCs/>
      <w:sz w:val="44"/>
    </w:rPr>
  </w:style>
  <w:style w:type="paragraph" w:customStyle="1" w:styleId="65">
    <w:name w:val="xl75"/>
    <w:basedOn w:val="1"/>
    <w:qFormat/>
    <w:uiPriority w:val="0"/>
    <w:pPr>
      <w:pBdr>
        <w:top w:val="single" w:color="auto" w:sz="4" w:space="0"/>
        <w:bottom w:val="single" w:color="auto" w:sz="4" w:space="0"/>
      </w:pBdr>
      <w:spacing w:before="100" w:beforeAutospacing="1" w:after="100" w:afterAutospacing="1"/>
      <w:jc w:val="center"/>
      <w:textAlignment w:val="center"/>
    </w:pPr>
    <w:rPr>
      <w:rFonts w:ascii="宋体" w:hAnsi="宋体" w:cs="宋体"/>
      <w:b/>
      <w:bCs/>
      <w:sz w:val="24"/>
      <w:szCs w:val="24"/>
    </w:rPr>
  </w:style>
  <w:style w:type="paragraph" w:customStyle="1" w:styleId="66">
    <w:name w:val="±íÏî"/>
    <w:basedOn w:val="1"/>
    <w:qFormat/>
    <w:uiPriority w:val="0"/>
    <w:pPr>
      <w:overflowPunct w:val="0"/>
      <w:autoSpaceDE w:val="0"/>
      <w:autoSpaceDN w:val="0"/>
      <w:adjustRightInd w:val="0"/>
      <w:spacing w:line="300" w:lineRule="auto"/>
      <w:jc w:val="center"/>
      <w:textAlignment w:val="baseline"/>
    </w:pPr>
    <w:rPr>
      <w:sz w:val="18"/>
    </w:rPr>
  </w:style>
  <w:style w:type="paragraph" w:customStyle="1" w:styleId="67">
    <w:name w:val="xl40"/>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68">
    <w:name w:val="xl48"/>
    <w:basedOn w:val="1"/>
    <w:qFormat/>
    <w:uiPriority w:val="0"/>
    <w:pPr>
      <w:pBdr>
        <w:bottom w:val="single" w:color="auto" w:sz="4" w:space="0"/>
      </w:pBdr>
      <w:spacing w:before="100" w:beforeAutospacing="1" w:after="100" w:afterAutospacing="1"/>
      <w:jc w:val="center"/>
      <w:textAlignment w:val="center"/>
    </w:pPr>
    <w:rPr>
      <w:rFonts w:ascii="宋体" w:hAnsi="宋体" w:cs="宋体"/>
      <w:sz w:val="22"/>
      <w:szCs w:val="22"/>
    </w:rPr>
  </w:style>
  <w:style w:type="paragraph" w:customStyle="1" w:styleId="69">
    <w:name w:val="xl62"/>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rPr>
  </w:style>
  <w:style w:type="paragraph" w:customStyle="1" w:styleId="70">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sz w:val="20"/>
    </w:rPr>
  </w:style>
  <w:style w:type="paragraph" w:customStyle="1" w:styleId="71">
    <w:name w:val="Char Char15 Char Char"/>
    <w:basedOn w:val="1"/>
    <w:qFormat/>
    <w:uiPriority w:val="0"/>
    <w:pPr>
      <w:widowControl w:val="0"/>
      <w:jc w:val="both"/>
    </w:pPr>
    <w:rPr>
      <w:kern w:val="2"/>
    </w:rPr>
  </w:style>
  <w:style w:type="paragraph" w:customStyle="1" w:styleId="72">
    <w:name w:val="普通表格1"/>
    <w:qFormat/>
    <w:uiPriority w:val="0"/>
    <w:pPr>
      <w:spacing w:line="351" w:lineRule="atLeast"/>
      <w:ind w:firstLine="419"/>
      <w:jc w:val="both"/>
      <w:textAlignment w:val="baseline"/>
    </w:pPr>
    <w:rPr>
      <w:rFonts w:ascii="Times New Roman" w:hAnsi="Times New Roman" w:eastAsia="宋体" w:cs="Times New Roman"/>
      <w:color w:val="000000"/>
      <w:sz w:val="21"/>
      <w:u w:val="none" w:color="000000"/>
      <w:lang w:val="en-US" w:eastAsia="zh-CN" w:bidi="ar-SA"/>
    </w:rPr>
  </w:style>
  <w:style w:type="paragraph" w:customStyle="1" w:styleId="73">
    <w:name w:val="表格文字"/>
    <w:basedOn w:val="1"/>
    <w:qFormat/>
    <w:uiPriority w:val="0"/>
    <w:pPr>
      <w:widowControl w:val="0"/>
      <w:spacing w:before="25" w:after="25" w:line="300" w:lineRule="auto"/>
      <w:jc w:val="both"/>
    </w:pPr>
    <w:rPr>
      <w:rFonts w:ascii="Times" w:hAnsi="Times"/>
      <w:spacing w:val="10"/>
      <w:sz w:val="24"/>
    </w:rPr>
  </w:style>
  <w:style w:type="paragraph" w:customStyle="1" w:styleId="74">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75">
    <w:name w:val="xl51"/>
    <w:basedOn w:val="1"/>
    <w:qFormat/>
    <w:uiPriority w:val="0"/>
    <w:pPr>
      <w:pBdr>
        <w:bottom w:val="single" w:color="auto" w:sz="4" w:space="0"/>
        <w:right w:val="single" w:color="auto" w:sz="4" w:space="0"/>
      </w:pBdr>
      <w:spacing w:before="100" w:beforeAutospacing="1" w:after="100" w:afterAutospacing="1"/>
      <w:jc w:val="both"/>
      <w:textAlignment w:val="center"/>
    </w:pPr>
    <w:rPr>
      <w:rFonts w:ascii="Arial" w:hAnsi="Arial" w:eastAsia="Arial Unicode MS" w:cs="Arial"/>
      <w:szCs w:val="21"/>
    </w:rPr>
  </w:style>
  <w:style w:type="paragraph" w:customStyle="1" w:styleId="76">
    <w:name w:val="--规划正文"/>
    <w:basedOn w:val="1"/>
    <w:qFormat/>
    <w:uiPriority w:val="0"/>
    <w:pPr>
      <w:widowControl w:val="0"/>
      <w:spacing w:line="360" w:lineRule="auto"/>
      <w:ind w:firstLine="200" w:firstLineChars="200"/>
      <w:jc w:val="both"/>
    </w:pPr>
    <w:rPr>
      <w:kern w:val="2"/>
    </w:rPr>
  </w:style>
  <w:style w:type="paragraph" w:customStyle="1" w:styleId="77">
    <w:name w:val="样式1"/>
    <w:basedOn w:val="1"/>
    <w:qFormat/>
    <w:uiPriority w:val="0"/>
    <w:pPr>
      <w:widowControl w:val="0"/>
      <w:numPr>
        <w:ilvl w:val="0"/>
        <w:numId w:val="2"/>
      </w:numPr>
      <w:adjustRightInd w:val="0"/>
      <w:snapToGrid w:val="0"/>
      <w:spacing w:before="40" w:after="40" w:line="300" w:lineRule="auto"/>
      <w:jc w:val="center"/>
      <w:textAlignment w:val="center"/>
    </w:pPr>
    <w:rPr>
      <w:snapToGrid w:val="0"/>
      <w:spacing w:val="20"/>
      <w:sz w:val="18"/>
    </w:rPr>
  </w:style>
  <w:style w:type="paragraph" w:customStyle="1" w:styleId="78">
    <w:name w:val="c03"/>
    <w:basedOn w:val="1"/>
    <w:qFormat/>
    <w:uiPriority w:val="0"/>
    <w:pPr>
      <w:spacing w:before="100" w:beforeAutospacing="1" w:after="100" w:afterAutospacing="1"/>
    </w:pPr>
    <w:rPr>
      <w:rFonts w:ascii="宋体" w:hAnsi="宋体"/>
      <w:color w:val="000000"/>
      <w:sz w:val="24"/>
      <w:szCs w:val="24"/>
    </w:rPr>
  </w:style>
  <w:style w:type="paragraph" w:customStyle="1" w:styleId="79">
    <w:name w:val="日期1"/>
    <w:basedOn w:val="1"/>
    <w:next w:val="1"/>
    <w:qFormat/>
    <w:uiPriority w:val="0"/>
    <w:pPr>
      <w:widowControl w:val="0"/>
      <w:adjustRightInd w:val="0"/>
      <w:spacing w:line="360" w:lineRule="auto"/>
      <w:jc w:val="both"/>
      <w:textAlignment w:val="baseline"/>
    </w:pPr>
    <w:rPr>
      <w:rFonts w:ascii="宋体"/>
      <w:b/>
      <w:spacing w:val="2"/>
      <w:kern w:val="2"/>
      <w:sz w:val="24"/>
    </w:rPr>
  </w:style>
  <w:style w:type="paragraph" w:customStyle="1" w:styleId="80">
    <w:name w:val="Char1 Char Char Char1"/>
    <w:basedOn w:val="1"/>
    <w:qFormat/>
    <w:uiPriority w:val="0"/>
    <w:pPr>
      <w:spacing w:after="160" w:line="240" w:lineRule="exact"/>
    </w:pPr>
    <w:rPr>
      <w:rFonts w:ascii="Verdana" w:hAnsi="Verdana" w:eastAsia="仿宋_GB2312"/>
      <w:sz w:val="28"/>
      <w:lang w:eastAsia="en-US"/>
    </w:rPr>
  </w:style>
  <w:style w:type="paragraph" w:customStyle="1" w:styleId="81">
    <w:name w:val="font8"/>
    <w:basedOn w:val="1"/>
    <w:qFormat/>
    <w:uiPriority w:val="0"/>
    <w:pPr>
      <w:spacing w:before="100" w:beforeAutospacing="1" w:after="100" w:afterAutospacing="1"/>
    </w:pPr>
    <w:rPr>
      <w:b/>
      <w:bCs/>
      <w:sz w:val="20"/>
    </w:rPr>
  </w:style>
  <w:style w:type="paragraph" w:customStyle="1" w:styleId="82">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83">
    <w:name w:val="font6"/>
    <w:basedOn w:val="1"/>
    <w:qFormat/>
    <w:uiPriority w:val="0"/>
    <w:pPr>
      <w:spacing w:before="100" w:beforeAutospacing="1" w:after="100" w:afterAutospacing="1"/>
    </w:pPr>
    <w:rPr>
      <w:rFonts w:ascii="宋体" w:hAnsi="宋体" w:cs="宋体"/>
      <w:sz w:val="20"/>
    </w:rPr>
  </w:style>
  <w:style w:type="paragraph" w:customStyle="1" w:styleId="84">
    <w:name w:val="xl65"/>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0"/>
    </w:rPr>
  </w:style>
  <w:style w:type="paragraph" w:customStyle="1" w:styleId="85">
    <w:name w:val="font10"/>
    <w:basedOn w:val="1"/>
    <w:qFormat/>
    <w:uiPriority w:val="0"/>
    <w:pPr>
      <w:spacing w:before="100" w:beforeAutospacing="1" w:after="100" w:afterAutospacing="1"/>
    </w:pPr>
    <w:rPr>
      <w:rFonts w:ascii="宋体" w:hAnsi="宋体" w:cs="宋体"/>
      <w:color w:val="000000"/>
      <w:sz w:val="22"/>
      <w:szCs w:val="28"/>
    </w:rPr>
  </w:style>
  <w:style w:type="paragraph" w:customStyle="1" w:styleId="86">
    <w:name w:val="È±Ê¡ÎÄ±¾"/>
    <w:basedOn w:val="1"/>
    <w:qFormat/>
    <w:uiPriority w:val="0"/>
    <w:pPr>
      <w:overflowPunct w:val="0"/>
      <w:autoSpaceDE w:val="0"/>
      <w:autoSpaceDN w:val="0"/>
      <w:adjustRightInd w:val="0"/>
      <w:spacing w:line="360" w:lineRule="auto"/>
      <w:jc w:val="both"/>
      <w:textAlignment w:val="baseline"/>
    </w:pPr>
  </w:style>
  <w:style w:type="paragraph" w:customStyle="1" w:styleId="87">
    <w:name w:val="样式 正文缩进 + 首行缩进:  2 字符"/>
    <w:basedOn w:val="7"/>
    <w:qFormat/>
    <w:uiPriority w:val="0"/>
    <w:pPr>
      <w:widowControl w:val="0"/>
      <w:spacing w:line="360" w:lineRule="auto"/>
      <w:ind w:left="0" w:firstLine="480" w:firstLineChars="200"/>
      <w:jc w:val="both"/>
    </w:pPr>
    <w:rPr>
      <w:kern w:val="2"/>
      <w:sz w:val="24"/>
    </w:rPr>
  </w:style>
  <w:style w:type="paragraph" w:customStyle="1" w:styleId="88">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89">
    <w:name w:val="xl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2"/>
      <w:szCs w:val="22"/>
    </w:rPr>
  </w:style>
  <w:style w:type="paragraph" w:customStyle="1" w:styleId="9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4"/>
      <w:szCs w:val="24"/>
    </w:rPr>
  </w:style>
  <w:style w:type="paragraph" w:customStyle="1" w:styleId="91">
    <w:name w:val="xl72"/>
    <w:basedOn w:val="1"/>
    <w:qFormat/>
    <w:uiPriority w:val="0"/>
    <w:pPr>
      <w:pBdr>
        <w:top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92">
    <w:name w:val="xl27"/>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szCs w:val="21"/>
    </w:rPr>
  </w:style>
  <w:style w:type="paragraph" w:customStyle="1" w:styleId="93">
    <w:name w:val="f14"/>
    <w:basedOn w:val="1"/>
    <w:qFormat/>
    <w:uiPriority w:val="0"/>
    <w:pPr>
      <w:spacing w:before="100" w:beforeAutospacing="1" w:after="100" w:afterAutospacing="1"/>
    </w:pPr>
    <w:rPr>
      <w:rFonts w:ascii="_GB2312" w:hAnsi="_GB2312"/>
      <w:color w:val="000000"/>
      <w:sz w:val="28"/>
      <w:szCs w:val="28"/>
    </w:rPr>
  </w:style>
  <w:style w:type="paragraph" w:customStyle="1" w:styleId="94">
    <w:name w:val="表格标题"/>
    <w:basedOn w:val="73"/>
    <w:qFormat/>
    <w:uiPriority w:val="0"/>
    <w:pPr>
      <w:spacing w:before="0" w:after="0" w:line="240" w:lineRule="auto"/>
      <w:jc w:val="center"/>
    </w:pPr>
    <w:rPr>
      <w:rFonts w:ascii="Times New Roman" w:hAnsi="Times New Roman" w:eastAsia="黑体"/>
      <w:spacing w:val="0"/>
      <w:kern w:val="2"/>
      <w:sz w:val="21"/>
      <w:szCs w:val="21"/>
    </w:rPr>
  </w:style>
  <w:style w:type="paragraph" w:customStyle="1" w:styleId="95">
    <w:name w:val="表格正文"/>
    <w:basedOn w:val="1"/>
    <w:link w:val="339"/>
    <w:qFormat/>
    <w:uiPriority w:val="0"/>
    <w:pPr>
      <w:widowControl w:val="0"/>
      <w:overflowPunct w:val="0"/>
      <w:adjustRightInd w:val="0"/>
      <w:snapToGrid w:val="0"/>
      <w:spacing w:before="60" w:after="60" w:line="360" w:lineRule="auto"/>
      <w:ind w:firstLine="540" w:firstLineChars="225"/>
      <w:jc w:val="center"/>
      <w:textAlignment w:val="baseline"/>
    </w:pPr>
    <w:rPr>
      <w:sz w:val="24"/>
    </w:rPr>
  </w:style>
  <w:style w:type="paragraph" w:customStyle="1" w:styleId="96">
    <w:name w:val="xl83"/>
    <w:basedOn w:val="1"/>
    <w:qFormat/>
    <w:uiPriority w:val="0"/>
    <w:pPr>
      <w:pBdr>
        <w:left w:val="single" w:color="auto" w:sz="4" w:space="0"/>
        <w:right w:val="single" w:color="auto" w:sz="4" w:space="0"/>
      </w:pBdr>
      <w:spacing w:before="100" w:beforeAutospacing="1" w:after="100" w:afterAutospacing="1"/>
      <w:jc w:val="center"/>
    </w:pPr>
    <w:rPr>
      <w:rFonts w:ascii="宋体" w:hAnsi="宋体" w:cs="宋体"/>
      <w:sz w:val="22"/>
      <w:szCs w:val="28"/>
    </w:rPr>
  </w:style>
  <w:style w:type="paragraph" w:customStyle="1" w:styleId="97">
    <w:name w:val="题注5"/>
    <w:basedOn w:val="1"/>
    <w:next w:val="17"/>
    <w:qFormat/>
    <w:uiPriority w:val="0"/>
    <w:pPr>
      <w:widowControl w:val="0"/>
      <w:numPr>
        <w:ilvl w:val="0"/>
        <w:numId w:val="3"/>
      </w:numPr>
      <w:tabs>
        <w:tab w:val="left" w:pos="540"/>
        <w:tab w:val="clear" w:pos="510"/>
      </w:tabs>
      <w:spacing w:line="360" w:lineRule="auto"/>
      <w:ind w:left="540" w:hanging="540" w:hangingChars="225"/>
      <w:jc w:val="both"/>
    </w:pPr>
    <w:rPr>
      <w:rFonts w:ascii="宋体" w:hAnsi="宋体"/>
      <w:color w:val="000000"/>
      <w:kern w:val="2"/>
      <w:sz w:val="24"/>
      <w:szCs w:val="24"/>
    </w:rPr>
  </w:style>
  <w:style w:type="paragraph" w:customStyle="1" w:styleId="98">
    <w:name w:val="正文表标题"/>
    <w:next w:val="6"/>
    <w:qFormat/>
    <w:uiPriority w:val="0"/>
    <w:pPr>
      <w:numPr>
        <w:ilvl w:val="0"/>
        <w:numId w:val="4"/>
      </w:numPr>
      <w:spacing w:after="200" w:line="400" w:lineRule="exact"/>
      <w:jc w:val="center"/>
    </w:pPr>
    <w:rPr>
      <w:rFonts w:ascii="黑体" w:hAnsi="Calibri" w:eastAsia="黑体" w:cs="Times New Roman"/>
      <w:sz w:val="21"/>
      <w:szCs w:val="22"/>
      <w:lang w:val="en-US" w:eastAsia="en-US" w:bidi="ar-SA"/>
    </w:rPr>
  </w:style>
  <w:style w:type="paragraph" w:customStyle="1" w:styleId="99">
    <w:name w:val="标题1"/>
    <w:basedOn w:val="1"/>
    <w:qFormat/>
    <w:uiPriority w:val="0"/>
    <w:pPr>
      <w:spacing w:line="360" w:lineRule="auto"/>
      <w:jc w:val="center"/>
    </w:pPr>
    <w:rPr>
      <w:rFonts w:ascii="黑体" w:eastAsia="黑体"/>
      <w:b/>
      <w:sz w:val="44"/>
    </w:rPr>
  </w:style>
  <w:style w:type="paragraph" w:customStyle="1" w:styleId="100">
    <w:name w:val="Char Char Char Char Char Char1 Char Char Char Char"/>
    <w:basedOn w:val="1"/>
    <w:qFormat/>
    <w:uiPriority w:val="0"/>
    <w:pPr>
      <w:tabs>
        <w:tab w:val="left" w:pos="360"/>
      </w:tabs>
      <w:spacing w:after="160" w:line="240" w:lineRule="exact"/>
    </w:pPr>
    <w:rPr>
      <w:kern w:val="2"/>
      <w:sz w:val="24"/>
      <w:szCs w:val="24"/>
    </w:rPr>
  </w:style>
  <w:style w:type="paragraph" w:customStyle="1" w:styleId="101">
    <w:name w:val="xl81"/>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2"/>
      <w:szCs w:val="28"/>
    </w:rPr>
  </w:style>
  <w:style w:type="paragraph" w:customStyle="1" w:styleId="102">
    <w:name w:val="Arial corps 9"/>
    <w:basedOn w:val="1"/>
    <w:qFormat/>
    <w:uiPriority w:val="0"/>
    <w:pPr>
      <w:widowControl w:val="0"/>
      <w:spacing w:before="1" w:after="1"/>
    </w:pPr>
    <w:rPr>
      <w:rFonts w:ascii="Arial" w:hAnsi="Arial"/>
      <w:color w:val="000000"/>
      <w:sz w:val="18"/>
      <w:szCs w:val="18"/>
    </w:rPr>
  </w:style>
  <w:style w:type="paragraph" w:customStyle="1" w:styleId="103">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104">
    <w:name w:val="xl88"/>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sz w:val="22"/>
      <w:szCs w:val="28"/>
    </w:rPr>
  </w:style>
  <w:style w:type="paragraph" w:customStyle="1" w:styleId="105">
    <w:name w:val="题注4"/>
    <w:basedOn w:val="1"/>
    <w:next w:val="17"/>
    <w:qFormat/>
    <w:uiPriority w:val="0"/>
    <w:pPr>
      <w:widowControl w:val="0"/>
      <w:ind w:left="-132" w:leftChars="-64" w:right="-105" w:rightChars="-50" w:hanging="2"/>
      <w:jc w:val="center"/>
    </w:pPr>
    <w:rPr>
      <w:b/>
      <w:color w:val="FF0000"/>
      <w:kern w:val="2"/>
      <w:szCs w:val="21"/>
    </w:rPr>
  </w:style>
  <w:style w:type="paragraph" w:customStyle="1" w:styleId="106">
    <w:name w:val="标书正文 Char Char1"/>
    <w:basedOn w:val="1"/>
    <w:qFormat/>
    <w:uiPriority w:val="0"/>
    <w:pPr>
      <w:widowControl w:val="0"/>
      <w:spacing w:line="500" w:lineRule="exact"/>
      <w:ind w:firstLine="540" w:firstLineChars="225"/>
      <w:jc w:val="both"/>
    </w:pPr>
    <w:rPr>
      <w:rFonts w:ascii="宋体" w:hAnsi="宋体"/>
      <w:kern w:val="2"/>
      <w:sz w:val="24"/>
      <w:szCs w:val="24"/>
    </w:rPr>
  </w:style>
  <w:style w:type="paragraph" w:customStyle="1" w:styleId="107">
    <w:name w:val="样式 正文缩进正文（首行缩进两字）特点表正文正文非缩进正文对齐图表标题段1ALT+Z标题4四号缩进正文双..."/>
    <w:basedOn w:val="7"/>
    <w:qFormat/>
    <w:uiPriority w:val="0"/>
    <w:pPr>
      <w:widowControl w:val="0"/>
      <w:autoSpaceDE w:val="0"/>
      <w:autoSpaceDN w:val="0"/>
      <w:adjustRightInd w:val="0"/>
      <w:snapToGrid w:val="0"/>
      <w:spacing w:beforeLines="50" w:afterLines="50" w:line="360" w:lineRule="auto"/>
      <w:ind w:left="0" w:firstLine="480" w:firstLineChars="200"/>
    </w:pPr>
    <w:rPr>
      <w:sz w:val="24"/>
    </w:rPr>
  </w:style>
  <w:style w:type="paragraph" w:customStyle="1" w:styleId="108">
    <w:name w:val="正文缩进HS-正文1"/>
    <w:basedOn w:val="1"/>
    <w:qFormat/>
    <w:uiPriority w:val="0"/>
    <w:pPr>
      <w:widowControl w:val="0"/>
      <w:tabs>
        <w:tab w:val="left" w:pos="0"/>
      </w:tabs>
      <w:spacing w:before="156" w:line="300" w:lineRule="auto"/>
      <w:ind w:firstLine="547" w:firstLineChars="228"/>
      <w:jc w:val="both"/>
    </w:pPr>
    <w:rPr>
      <w:rFonts w:ascii="宋体" w:hAnsi="宋体"/>
      <w:kern w:val="2"/>
      <w:sz w:val="24"/>
      <w:szCs w:val="24"/>
    </w:rPr>
  </w:style>
  <w:style w:type="paragraph" w:customStyle="1" w:styleId="109">
    <w:name w:val="目录4"/>
    <w:basedOn w:val="1"/>
    <w:next w:val="1"/>
    <w:qFormat/>
    <w:uiPriority w:val="0"/>
    <w:pPr>
      <w:tabs>
        <w:tab w:val="left" w:leader="dot" w:pos="8503"/>
      </w:tabs>
      <w:spacing w:line="317" w:lineRule="atLeast"/>
      <w:ind w:left="419" w:firstLine="629"/>
      <w:jc w:val="both"/>
      <w:textAlignment w:val="baseline"/>
    </w:pPr>
    <w:rPr>
      <w:color w:val="000000"/>
      <w:u w:val="none" w:color="000000"/>
    </w:rPr>
  </w:style>
  <w:style w:type="paragraph" w:customStyle="1" w:styleId="110">
    <w:name w:val="CM23"/>
    <w:basedOn w:val="1"/>
    <w:next w:val="1"/>
    <w:qFormat/>
    <w:uiPriority w:val="0"/>
    <w:pPr>
      <w:widowControl w:val="0"/>
      <w:autoSpaceDE w:val="0"/>
      <w:autoSpaceDN w:val="0"/>
      <w:adjustRightInd w:val="0"/>
      <w:spacing w:after="360"/>
    </w:pPr>
    <w:rPr>
      <w:rFonts w:ascii="Verdana" w:hAnsi="Verdana" w:cs="Verdana"/>
      <w:sz w:val="24"/>
      <w:szCs w:val="24"/>
    </w:rPr>
  </w:style>
  <w:style w:type="paragraph" w:customStyle="1" w:styleId="111">
    <w:name w:val="Char Char Char Char Char Char Char Char Char Char"/>
    <w:basedOn w:val="1"/>
    <w:qFormat/>
    <w:uiPriority w:val="0"/>
    <w:pPr>
      <w:widowControl w:val="0"/>
      <w:jc w:val="both"/>
    </w:pPr>
    <w:rPr>
      <w:rFonts w:ascii="Tahoma" w:hAnsi="Tahoma"/>
      <w:kern w:val="2"/>
      <w:sz w:val="24"/>
    </w:rPr>
  </w:style>
  <w:style w:type="paragraph" w:customStyle="1" w:styleId="112">
    <w:name w:val="小节标题"/>
    <w:basedOn w:val="1"/>
    <w:next w:val="1"/>
    <w:qFormat/>
    <w:uiPriority w:val="0"/>
    <w:pPr>
      <w:spacing w:before="175" w:after="102" w:line="351" w:lineRule="atLeast"/>
      <w:jc w:val="both"/>
      <w:textAlignment w:val="baseline"/>
    </w:pPr>
    <w:rPr>
      <w:rFonts w:eastAsia="黑体"/>
      <w:color w:val="000000"/>
      <w:u w:val="none" w:color="000000"/>
    </w:rPr>
  </w:style>
  <w:style w:type="paragraph" w:customStyle="1" w:styleId="113">
    <w:name w:val="默认段落字体 Para Char"/>
    <w:basedOn w:val="1"/>
    <w:qFormat/>
    <w:uiPriority w:val="0"/>
    <w:pPr>
      <w:widowControl w:val="0"/>
      <w:adjustRightInd w:val="0"/>
      <w:spacing w:line="360" w:lineRule="auto"/>
      <w:jc w:val="both"/>
    </w:pPr>
    <w:rPr>
      <w:sz w:val="24"/>
    </w:rPr>
  </w:style>
  <w:style w:type="paragraph" w:customStyle="1" w:styleId="114">
    <w:name w:val="xl24"/>
    <w:basedOn w:val="1"/>
    <w:qFormat/>
    <w:uiPriority w:val="0"/>
    <w:pPr>
      <w:spacing w:before="100" w:beforeAutospacing="1" w:after="100" w:afterAutospacing="1"/>
      <w:jc w:val="center"/>
    </w:pPr>
    <w:rPr>
      <w:rFonts w:ascii="宋体" w:hAnsi="宋体" w:cs="宋体"/>
      <w:sz w:val="24"/>
      <w:szCs w:val="24"/>
    </w:rPr>
  </w:style>
  <w:style w:type="paragraph" w:customStyle="1" w:styleId="115">
    <w:name w:val="样式4 Char"/>
    <w:basedOn w:val="1"/>
    <w:qFormat/>
    <w:uiPriority w:val="0"/>
    <w:pPr>
      <w:spacing w:line="360" w:lineRule="auto"/>
      <w:ind w:firstLine="480" w:firstLineChars="200"/>
    </w:pPr>
    <w:rPr>
      <w:rFonts w:ascii="仿宋_GB2312"/>
      <w:color w:val="000000"/>
      <w:sz w:val="24"/>
    </w:rPr>
  </w:style>
  <w:style w:type="paragraph" w:customStyle="1" w:styleId="116">
    <w:name w:val="办公自动化专用标题"/>
    <w:basedOn w:val="46"/>
    <w:qFormat/>
    <w:uiPriority w:val="0"/>
    <w:pPr>
      <w:spacing w:line="560" w:lineRule="atLeast"/>
    </w:pPr>
    <w:rPr>
      <w:rFonts w:ascii="宋体" w:cs="Times New Roman"/>
      <w:bCs w:val="0"/>
      <w:sz w:val="44"/>
      <w:szCs w:val="20"/>
    </w:rPr>
  </w:style>
  <w:style w:type="paragraph" w:customStyle="1" w:styleId="117">
    <w:name w:val="列项——（一级）"/>
    <w:qFormat/>
    <w:uiPriority w:val="0"/>
    <w:pPr>
      <w:widowControl w:val="0"/>
      <w:tabs>
        <w:tab w:val="left" w:pos="854"/>
        <w:tab w:val="left" w:pos="1260"/>
      </w:tabs>
      <w:ind w:left="1260" w:leftChars="200" w:hanging="420" w:hangingChars="200"/>
      <w:jc w:val="both"/>
    </w:pPr>
    <w:rPr>
      <w:rFonts w:ascii="宋体" w:hAnsi="Times New Roman" w:eastAsia="宋体" w:cs="Times New Roman"/>
      <w:sz w:val="21"/>
      <w:lang w:val="en-US" w:eastAsia="zh-CN" w:bidi="ar-SA"/>
    </w:rPr>
  </w:style>
  <w:style w:type="paragraph" w:customStyle="1" w:styleId="118">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sz w:val="24"/>
      <w:szCs w:val="24"/>
    </w:rPr>
  </w:style>
  <w:style w:type="paragraph" w:customStyle="1" w:styleId="119">
    <w:name w:val="样式 标题 3h3heading 3(Alt+3)(Alt+3)1(Alt+3)2(Alt+3)3(Alt+3)4...1"/>
    <w:basedOn w:val="5"/>
    <w:qFormat/>
    <w:uiPriority w:val="0"/>
    <w:pPr>
      <w:keepNext/>
      <w:keepLines/>
      <w:widowControl/>
      <w:numPr>
        <w:ilvl w:val="2"/>
        <w:numId w:val="5"/>
      </w:numPr>
      <w:tabs>
        <w:tab w:val="left" w:pos="0"/>
        <w:tab w:val="left" w:pos="845"/>
        <w:tab w:val="clear" w:pos="2351"/>
        <w:tab w:val="clear" w:pos="851"/>
      </w:tabs>
      <w:adjustRightInd/>
      <w:snapToGrid/>
      <w:spacing w:before="120" w:after="60"/>
      <w:jc w:val="left"/>
    </w:pPr>
    <w:rPr>
      <w:rFonts w:ascii="Times New Roman"/>
      <w:b/>
      <w:bCs/>
      <w:kern w:val="2"/>
      <w:sz w:val="32"/>
      <w:szCs w:val="24"/>
    </w:rPr>
  </w:style>
  <w:style w:type="paragraph" w:customStyle="1" w:styleId="120">
    <w:name w:val="xl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0"/>
    </w:rPr>
  </w:style>
  <w:style w:type="paragraph" w:customStyle="1" w:styleId="121">
    <w:name w:val="样式 正文首行缩进 2 + (符号) 宋体 首行缩进:  2 字符"/>
    <w:basedOn w:val="31"/>
    <w:qFormat/>
    <w:uiPriority w:val="0"/>
    <w:pPr>
      <w:widowControl w:val="0"/>
      <w:tabs>
        <w:tab w:val="left" w:pos="2340"/>
      </w:tabs>
      <w:adjustRightInd w:val="0"/>
      <w:snapToGrid w:val="0"/>
      <w:spacing w:beforeLines="50" w:afterLines="50" w:line="360" w:lineRule="auto"/>
      <w:ind w:left="0" w:leftChars="0" w:firstLine="1470" w:firstLineChars="700"/>
      <w:jc w:val="both"/>
    </w:pPr>
    <w:rPr>
      <w:rFonts w:cs="宋体"/>
      <w:szCs w:val="21"/>
    </w:rPr>
  </w:style>
  <w:style w:type="paragraph" w:customStyle="1" w:styleId="122">
    <w:name w:val="xl49"/>
    <w:basedOn w:val="1"/>
    <w:qFormat/>
    <w:uiPriority w:val="0"/>
    <w:pPr>
      <w:pBdr>
        <w:bottom w:val="single" w:color="auto" w:sz="4" w:space="0"/>
        <w:right w:val="single" w:color="auto" w:sz="4" w:space="0"/>
      </w:pBdr>
      <w:spacing w:before="100" w:beforeAutospacing="1" w:after="100" w:afterAutospacing="1"/>
      <w:jc w:val="center"/>
      <w:textAlignment w:val="center"/>
    </w:pPr>
    <w:rPr>
      <w:rFonts w:ascii="宋体" w:hAnsi="宋体" w:cs="宋体"/>
      <w:sz w:val="22"/>
      <w:szCs w:val="22"/>
    </w:rPr>
  </w:style>
  <w:style w:type="paragraph" w:customStyle="1" w:styleId="123">
    <w:name w:val="xl71"/>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124">
    <w:name w:val="Char1"/>
    <w:basedOn w:val="1"/>
    <w:qFormat/>
    <w:uiPriority w:val="0"/>
    <w:pPr>
      <w:widowControl w:val="0"/>
      <w:jc w:val="both"/>
    </w:pPr>
    <w:rPr>
      <w:rFonts w:ascii="Tahoma" w:hAnsi="Tahoma" w:cs="Tahoma"/>
      <w:kern w:val="2"/>
      <w:sz w:val="24"/>
      <w:szCs w:val="24"/>
    </w:rPr>
  </w:style>
  <w:style w:type="paragraph" w:customStyle="1" w:styleId="125">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sz w:val="20"/>
    </w:rPr>
  </w:style>
  <w:style w:type="paragraph" w:customStyle="1" w:styleId="126">
    <w:name w:val="xl56"/>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127">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2"/>
      <w:szCs w:val="28"/>
    </w:rPr>
  </w:style>
  <w:style w:type="paragraph" w:customStyle="1" w:styleId="128">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sz w:val="22"/>
      <w:szCs w:val="28"/>
    </w:rPr>
  </w:style>
  <w:style w:type="paragraph" w:customStyle="1" w:styleId="129">
    <w:name w:val="_Style 84"/>
    <w:basedOn w:val="1"/>
    <w:qFormat/>
    <w:uiPriority w:val="0"/>
    <w:pPr>
      <w:widowControl w:val="0"/>
      <w:jc w:val="both"/>
    </w:pPr>
    <w:rPr>
      <w:rFonts w:ascii="Tahoma" w:hAnsi="Tahoma"/>
      <w:kern w:val="2"/>
      <w:sz w:val="24"/>
    </w:rPr>
  </w:style>
  <w:style w:type="paragraph" w:customStyle="1" w:styleId="130">
    <w:name w:val="top_channel"/>
    <w:basedOn w:val="1"/>
    <w:qFormat/>
    <w:uiPriority w:val="0"/>
    <w:pPr>
      <w:spacing w:before="100" w:beforeAutospacing="1" w:after="100" w:afterAutospacing="1"/>
    </w:pPr>
    <w:rPr>
      <w:rFonts w:ascii="宋体" w:hAnsi="宋体" w:cs="宋体"/>
      <w:color w:val="FFFFFF"/>
      <w:szCs w:val="21"/>
    </w:rPr>
  </w:style>
  <w:style w:type="paragraph" w:customStyle="1" w:styleId="131">
    <w:name w:val="样式 首行缩进:  0.74 厘米"/>
    <w:basedOn w:val="1"/>
    <w:qFormat/>
    <w:uiPriority w:val="0"/>
    <w:pPr>
      <w:spacing w:line="360" w:lineRule="auto"/>
      <w:ind w:firstLine="200" w:firstLineChars="200"/>
    </w:pPr>
    <w:rPr>
      <w:sz w:val="24"/>
    </w:rPr>
  </w:style>
  <w:style w:type="paragraph" w:customStyle="1" w:styleId="132">
    <w:name w:val="a3"/>
    <w:basedOn w:val="1"/>
    <w:qFormat/>
    <w:uiPriority w:val="0"/>
    <w:pPr>
      <w:spacing w:before="100" w:beforeAutospacing="1" w:after="100" w:afterAutospacing="1"/>
    </w:pPr>
    <w:rPr>
      <w:rFonts w:ascii="宋体" w:hAnsi="宋体"/>
      <w:color w:val="000000"/>
      <w:sz w:val="20"/>
    </w:rPr>
  </w:style>
  <w:style w:type="paragraph" w:customStyle="1" w:styleId="133">
    <w:name w:val="xl45"/>
    <w:basedOn w:val="1"/>
    <w:qFormat/>
    <w:uiPriority w:val="0"/>
    <w:pPr>
      <w:pBdr>
        <w:top w:val="single" w:color="auto" w:sz="4" w:space="0"/>
      </w:pBdr>
      <w:spacing w:before="100" w:beforeAutospacing="1" w:after="100" w:afterAutospacing="1"/>
      <w:jc w:val="center"/>
      <w:textAlignment w:val="center"/>
    </w:pPr>
    <w:rPr>
      <w:rFonts w:ascii="宋体" w:hAnsi="宋体" w:cs="宋体"/>
      <w:b/>
      <w:bCs/>
      <w:sz w:val="22"/>
      <w:szCs w:val="22"/>
    </w:rPr>
  </w:style>
  <w:style w:type="paragraph" w:customStyle="1" w:styleId="134">
    <w:name w:val="Char Char Char Char"/>
    <w:basedOn w:val="18"/>
    <w:qFormat/>
    <w:uiPriority w:val="0"/>
    <w:pPr>
      <w:widowControl w:val="0"/>
      <w:adjustRightInd w:val="0"/>
      <w:snapToGrid w:val="0"/>
      <w:spacing w:line="360" w:lineRule="auto"/>
      <w:jc w:val="both"/>
    </w:pPr>
    <w:rPr>
      <w:rFonts w:ascii="Tahoma" w:hAnsi="Tahoma" w:cs="黑体"/>
      <w:kern w:val="2"/>
      <w:sz w:val="24"/>
      <w:szCs w:val="24"/>
    </w:rPr>
  </w:style>
  <w:style w:type="paragraph" w:customStyle="1" w:styleId="135">
    <w:name w:val="xl57"/>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136">
    <w:name w:val="Char Char Char Char Char1 Char"/>
    <w:basedOn w:val="1"/>
    <w:qFormat/>
    <w:uiPriority w:val="0"/>
    <w:pPr>
      <w:widowControl w:val="0"/>
      <w:jc w:val="both"/>
    </w:pPr>
    <w:rPr>
      <w:rFonts w:ascii="Tahoma" w:hAnsi="Tahoma"/>
      <w:kern w:val="2"/>
      <w:sz w:val="24"/>
    </w:rPr>
  </w:style>
  <w:style w:type="paragraph" w:customStyle="1" w:styleId="137">
    <w:name w:val="Char Char"/>
    <w:basedOn w:val="1"/>
    <w:qFormat/>
    <w:uiPriority w:val="0"/>
    <w:pPr>
      <w:spacing w:before="100" w:beforeAutospacing="1" w:after="100" w:afterAutospacing="1" w:line="330" w:lineRule="atLeast"/>
      <w:ind w:left="360"/>
    </w:pPr>
    <w:rPr>
      <w:rFonts w:ascii="ˎ̥" w:hAnsi="ˎ̥" w:cs="宋体"/>
      <w:color w:val="51585D"/>
      <w:szCs w:val="18"/>
    </w:rPr>
  </w:style>
  <w:style w:type="paragraph" w:customStyle="1" w:styleId="138">
    <w:name w:val="font5"/>
    <w:basedOn w:val="1"/>
    <w:qFormat/>
    <w:uiPriority w:val="0"/>
    <w:pPr>
      <w:spacing w:before="100" w:beforeAutospacing="1" w:after="100" w:afterAutospacing="1"/>
    </w:pPr>
    <w:rPr>
      <w:rFonts w:ascii="宋体" w:hAnsi="宋体" w:cs="宋体"/>
      <w:sz w:val="18"/>
      <w:szCs w:val="18"/>
    </w:rPr>
  </w:style>
  <w:style w:type="paragraph" w:customStyle="1" w:styleId="139">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40">
    <w:name w:val="列出段落1"/>
    <w:basedOn w:val="1"/>
    <w:link w:val="278"/>
    <w:qFormat/>
    <w:uiPriority w:val="0"/>
    <w:pPr>
      <w:widowControl w:val="0"/>
      <w:ind w:firstLine="420" w:firstLineChars="200"/>
      <w:jc w:val="both"/>
    </w:pPr>
    <w:rPr>
      <w:rFonts w:ascii="Calibri" w:hAnsi="Calibri"/>
      <w:kern w:val="2"/>
      <w:szCs w:val="22"/>
    </w:rPr>
  </w:style>
  <w:style w:type="paragraph" w:customStyle="1" w:styleId="141">
    <w:name w:val="表格标题_报告"/>
    <w:basedOn w:val="1"/>
    <w:qFormat/>
    <w:uiPriority w:val="0"/>
    <w:pPr>
      <w:widowControl w:val="0"/>
      <w:adjustRightInd w:val="0"/>
      <w:snapToGrid w:val="0"/>
      <w:spacing w:beforeLines="100"/>
      <w:jc w:val="center"/>
    </w:pPr>
    <w:rPr>
      <w:rFonts w:ascii="宋体" w:hAnsi="宋体"/>
      <w:kern w:val="2"/>
      <w:sz w:val="28"/>
    </w:rPr>
  </w:style>
  <w:style w:type="paragraph" w:customStyle="1" w:styleId="142">
    <w:name w:val="xl5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rPr>
  </w:style>
  <w:style w:type="paragraph" w:customStyle="1" w:styleId="143">
    <w:name w:val="Char1 Char Char Char"/>
    <w:basedOn w:val="1"/>
    <w:qFormat/>
    <w:uiPriority w:val="0"/>
    <w:pPr>
      <w:widowControl w:val="0"/>
      <w:numPr>
        <w:ilvl w:val="0"/>
        <w:numId w:val="5"/>
      </w:numPr>
      <w:spacing w:line="360" w:lineRule="auto"/>
      <w:jc w:val="both"/>
    </w:pPr>
    <w:rPr>
      <w:rFonts w:ascii="Tahoma" w:hAnsi="Tahoma"/>
      <w:color w:val="000000"/>
      <w:kern w:val="2"/>
      <w:sz w:val="30"/>
      <w:szCs w:val="30"/>
    </w:rPr>
  </w:style>
  <w:style w:type="paragraph" w:customStyle="1" w:styleId="144">
    <w:name w:val="xl6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sz w:val="20"/>
    </w:rPr>
  </w:style>
  <w:style w:type="paragraph" w:customStyle="1" w:styleId="145">
    <w:name w:val="文档正文"/>
    <w:basedOn w:val="1"/>
    <w:qFormat/>
    <w:uiPriority w:val="0"/>
    <w:pPr>
      <w:widowControl w:val="0"/>
      <w:jc w:val="both"/>
    </w:pPr>
    <w:rPr>
      <w:rFonts w:ascii="Arial" w:hAnsi="Arial"/>
      <w:kern w:val="2"/>
      <w:sz w:val="24"/>
    </w:rPr>
  </w:style>
  <w:style w:type="paragraph" w:customStyle="1" w:styleId="146">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47">
    <w:name w:val="xl4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48">
    <w:name w:val="xl54"/>
    <w:basedOn w:val="1"/>
    <w:qFormat/>
    <w:uiPriority w:val="0"/>
    <w:pPr>
      <w:pBdr>
        <w:top w:val="single" w:color="auto" w:sz="4" w:space="0"/>
        <w:bottom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149">
    <w:name w:val="xl77"/>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sz w:val="22"/>
      <w:szCs w:val="22"/>
    </w:rPr>
  </w:style>
  <w:style w:type="paragraph" w:customStyle="1" w:styleId="150">
    <w:name w:val="_Style 53"/>
    <w:basedOn w:val="1"/>
    <w:qFormat/>
    <w:uiPriority w:val="0"/>
    <w:pPr>
      <w:widowControl w:val="0"/>
      <w:jc w:val="both"/>
    </w:pPr>
  </w:style>
  <w:style w:type="paragraph" w:customStyle="1" w:styleId="151">
    <w:name w:val="正文文本缩进1"/>
    <w:basedOn w:val="1"/>
    <w:qFormat/>
    <w:uiPriority w:val="0"/>
    <w:pPr>
      <w:widowControl w:val="0"/>
      <w:tabs>
        <w:tab w:val="left" w:pos="420"/>
      </w:tabs>
      <w:spacing w:line="360" w:lineRule="auto"/>
      <w:ind w:firstLine="480"/>
      <w:jc w:val="both"/>
    </w:pPr>
    <w:rPr>
      <w:rFonts w:hint="eastAsia"/>
      <w:kern w:val="2"/>
      <w:sz w:val="24"/>
    </w:rPr>
  </w:style>
  <w:style w:type="paragraph" w:customStyle="1" w:styleId="152">
    <w:name w:val="TOC 标题1"/>
    <w:basedOn w:val="3"/>
    <w:next w:val="1"/>
    <w:qFormat/>
    <w:uiPriority w:val="0"/>
    <w:pPr>
      <w:widowControl/>
      <w:tabs>
        <w:tab w:val="clear" w:pos="840"/>
      </w:tabs>
      <w:adjustRightInd/>
      <w:snapToGrid/>
      <w:spacing w:before="480" w:line="276" w:lineRule="auto"/>
      <w:jc w:val="left"/>
      <w:outlineLvl w:val="9"/>
    </w:pPr>
    <w:rPr>
      <w:rFonts w:ascii="Cambria" w:hAnsi="Cambria"/>
      <w:bCs/>
      <w:color w:val="365F91"/>
      <w:kern w:val="0"/>
      <w:sz w:val="28"/>
      <w:szCs w:val="28"/>
    </w:rPr>
  </w:style>
  <w:style w:type="paragraph" w:customStyle="1" w:styleId="153">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4">
    <w:name w:val="Char Char1 Char Char Char"/>
    <w:basedOn w:val="1"/>
    <w:next w:val="1"/>
    <w:qFormat/>
    <w:uiPriority w:val="0"/>
    <w:pPr>
      <w:widowControl w:val="0"/>
      <w:spacing w:line="360" w:lineRule="auto"/>
      <w:ind w:firstLine="480"/>
      <w:jc w:val="both"/>
    </w:pPr>
    <w:rPr>
      <w:kern w:val="2"/>
      <w:sz w:val="24"/>
    </w:rPr>
  </w:style>
  <w:style w:type="paragraph" w:customStyle="1" w:styleId="155">
    <w:name w:val="目录2"/>
    <w:basedOn w:val="1"/>
    <w:next w:val="1"/>
    <w:qFormat/>
    <w:uiPriority w:val="0"/>
    <w:pPr>
      <w:tabs>
        <w:tab w:val="left" w:leader="dot" w:pos="8503"/>
      </w:tabs>
      <w:spacing w:line="317" w:lineRule="atLeast"/>
      <w:ind w:left="419" w:firstLine="419"/>
      <w:jc w:val="both"/>
      <w:textAlignment w:val="baseline"/>
    </w:pPr>
    <w:rPr>
      <w:color w:val="000000"/>
      <w:u w:val="none" w:color="000000"/>
    </w:rPr>
  </w:style>
  <w:style w:type="paragraph" w:customStyle="1" w:styleId="156">
    <w:name w:val="标题5"/>
    <w:basedOn w:val="8"/>
    <w:qFormat/>
    <w:uiPriority w:val="0"/>
    <w:pPr>
      <w:keepLines/>
      <w:tabs>
        <w:tab w:val="clear" w:pos="1008"/>
      </w:tabs>
      <w:adjustRightInd/>
      <w:snapToGrid/>
      <w:spacing w:line="360" w:lineRule="auto"/>
      <w:ind w:left="0" w:firstLine="0"/>
    </w:pPr>
    <w:rPr>
      <w:rFonts w:ascii="Times New Roman"/>
      <w:bCs/>
      <w:color w:val="auto"/>
      <w:kern w:val="2"/>
      <w:szCs w:val="28"/>
    </w:rPr>
  </w:style>
  <w:style w:type="paragraph" w:customStyle="1" w:styleId="157">
    <w:name w:val="font0"/>
    <w:basedOn w:val="1"/>
    <w:qFormat/>
    <w:uiPriority w:val="0"/>
    <w:pPr>
      <w:spacing w:before="100" w:beforeAutospacing="1" w:after="100" w:afterAutospacing="1"/>
    </w:pPr>
    <w:rPr>
      <w:rFonts w:ascii="宋体" w:hAnsi="宋体" w:cs="宋体"/>
      <w:sz w:val="24"/>
      <w:szCs w:val="24"/>
    </w:rPr>
  </w:style>
  <w:style w:type="paragraph" w:customStyle="1" w:styleId="158">
    <w:name w:val="Char Char1"/>
    <w:basedOn w:val="1"/>
    <w:link w:val="351"/>
    <w:qFormat/>
    <w:uiPriority w:val="0"/>
    <w:pPr>
      <w:widowControl w:val="0"/>
      <w:jc w:val="both"/>
    </w:pPr>
    <w:rPr>
      <w:rFonts w:ascii="Tahoma" w:hAnsi="Tahoma"/>
      <w:kern w:val="2"/>
      <w:sz w:val="24"/>
    </w:rPr>
  </w:style>
  <w:style w:type="paragraph" w:customStyle="1" w:styleId="159">
    <w:name w:val="题注1"/>
    <w:basedOn w:val="1"/>
    <w:next w:val="17"/>
    <w:qFormat/>
    <w:uiPriority w:val="0"/>
    <w:pPr>
      <w:widowControl w:val="0"/>
      <w:ind w:left="-107" w:leftChars="-51" w:firstLine="1"/>
      <w:jc w:val="center"/>
    </w:pPr>
    <w:rPr>
      <w:rFonts w:eastAsia="华文中宋"/>
      <w:b/>
      <w:bCs/>
      <w:kern w:val="2"/>
      <w:sz w:val="32"/>
      <w:szCs w:val="24"/>
    </w:rPr>
  </w:style>
  <w:style w:type="paragraph" w:customStyle="1" w:styleId="160">
    <w:name w:val="xl4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161">
    <w:name w:val="Char Char Char Char1"/>
    <w:basedOn w:val="1"/>
    <w:qFormat/>
    <w:uiPriority w:val="0"/>
    <w:pPr>
      <w:spacing w:after="160" w:line="240" w:lineRule="exact"/>
    </w:pPr>
    <w:rPr>
      <w:rFonts w:ascii="Verdana" w:hAnsi="Verdana" w:eastAsia="仿宋_GB2312"/>
      <w:sz w:val="24"/>
      <w:lang w:eastAsia="en-US"/>
    </w:rPr>
  </w:style>
  <w:style w:type="paragraph" w:customStyle="1" w:styleId="162">
    <w:name w:val="xl3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63">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font7"/>
    <w:basedOn w:val="1"/>
    <w:qFormat/>
    <w:uiPriority w:val="0"/>
    <w:pPr>
      <w:spacing w:before="100" w:beforeAutospacing="1" w:after="100" w:afterAutospacing="1"/>
    </w:pPr>
    <w:rPr>
      <w:sz w:val="20"/>
    </w:rPr>
  </w:style>
  <w:style w:type="paragraph" w:customStyle="1" w:styleId="165">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sz w:val="20"/>
    </w:rPr>
  </w:style>
  <w:style w:type="paragraph" w:customStyle="1" w:styleId="166">
    <w:name w:val="目录1"/>
    <w:basedOn w:val="1"/>
    <w:next w:val="1"/>
    <w:qFormat/>
    <w:uiPriority w:val="0"/>
    <w:pPr>
      <w:tabs>
        <w:tab w:val="left" w:leader="dot" w:pos="8503"/>
      </w:tabs>
      <w:spacing w:after="102" w:line="215" w:lineRule="atLeast"/>
      <w:ind w:firstLine="419"/>
      <w:textAlignment w:val="baseline"/>
    </w:pPr>
    <w:rPr>
      <w:color w:val="000000"/>
      <w:u w:val="none" w:color="000000"/>
    </w:rPr>
  </w:style>
  <w:style w:type="paragraph" w:customStyle="1" w:styleId="167">
    <w:name w:val="xl64"/>
    <w:basedOn w:val="1"/>
    <w:qFormat/>
    <w:uiPriority w:val="0"/>
    <w:pPr>
      <w:pBdr>
        <w:top w:val="single" w:color="auto" w:sz="4" w:space="0"/>
        <w:bottom w:val="single" w:color="auto" w:sz="4" w:space="0"/>
      </w:pBdr>
      <w:spacing w:before="100" w:beforeAutospacing="1" w:after="100" w:afterAutospacing="1"/>
      <w:jc w:val="right"/>
      <w:textAlignment w:val="center"/>
    </w:pPr>
    <w:rPr>
      <w:rFonts w:ascii="宋体" w:hAnsi="宋体" w:cs="宋体"/>
      <w:b/>
      <w:bCs/>
      <w:sz w:val="20"/>
    </w:rPr>
  </w:style>
  <w:style w:type="paragraph" w:customStyle="1" w:styleId="168">
    <w:name w:val="xl70"/>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 w:val="20"/>
    </w:rPr>
  </w:style>
  <w:style w:type="paragraph" w:customStyle="1" w:styleId="169">
    <w:name w:val="表格"/>
    <w:basedOn w:val="1"/>
    <w:qFormat/>
    <w:uiPriority w:val="0"/>
    <w:pPr>
      <w:framePr w:hSpace="180" w:wrap="around" w:vAnchor="text" w:hAnchor="text" w:y="1"/>
      <w:widowControl w:val="0"/>
      <w:adjustRightInd w:val="0"/>
      <w:snapToGrid w:val="0"/>
      <w:jc w:val="center"/>
    </w:pPr>
    <w:rPr>
      <w:rFonts w:eastAsia="仿宋_GB2312"/>
      <w:szCs w:val="21"/>
    </w:rPr>
  </w:style>
  <w:style w:type="paragraph" w:customStyle="1" w:styleId="170">
    <w:name w:val="my正文"/>
    <w:basedOn w:val="1"/>
    <w:qFormat/>
    <w:uiPriority w:val="0"/>
    <w:pPr>
      <w:spacing w:line="360" w:lineRule="auto"/>
      <w:ind w:firstLine="480" w:firstLineChars="200"/>
    </w:pPr>
    <w:rPr>
      <w:sz w:val="24"/>
    </w:rPr>
  </w:style>
  <w:style w:type="paragraph" w:customStyle="1" w:styleId="171">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72">
    <w:name w:val="编号"/>
    <w:basedOn w:val="1"/>
    <w:qFormat/>
    <w:uiPriority w:val="0"/>
    <w:pPr>
      <w:widowControl w:val="0"/>
      <w:numPr>
        <w:ilvl w:val="4"/>
        <w:numId w:val="6"/>
      </w:numPr>
      <w:spacing w:afterLines="50" w:line="300" w:lineRule="auto"/>
      <w:textAlignment w:val="center"/>
    </w:pPr>
    <w:rPr>
      <w:rFonts w:eastAsia="仿宋_GB2312"/>
      <w:spacing w:val="20"/>
      <w:kern w:val="2"/>
    </w:rPr>
  </w:style>
  <w:style w:type="paragraph" w:customStyle="1" w:styleId="173">
    <w:name w:val="f12"/>
    <w:basedOn w:val="1"/>
    <w:qFormat/>
    <w:uiPriority w:val="0"/>
    <w:pPr>
      <w:spacing w:before="100" w:beforeAutospacing="1" w:after="100" w:afterAutospacing="1"/>
    </w:pPr>
    <w:rPr>
      <w:rFonts w:ascii="_GB2312" w:hAnsi="_GB2312"/>
      <w:color w:val="000000"/>
      <w:szCs w:val="21"/>
    </w:rPr>
  </w:style>
  <w:style w:type="paragraph" w:customStyle="1" w:styleId="174">
    <w:name w:val="正文加粗"/>
    <w:basedOn w:val="1"/>
    <w:link w:val="301"/>
    <w:qFormat/>
    <w:uiPriority w:val="0"/>
    <w:rPr>
      <w:rFonts w:ascii="Arial" w:hAnsi="Arial" w:cs="宋体"/>
      <w:b/>
      <w:bCs/>
      <w:kern w:val="2"/>
      <w:sz w:val="24"/>
      <w:szCs w:val="22"/>
      <w:lang w:eastAsia="en-US"/>
    </w:rPr>
  </w:style>
  <w:style w:type="paragraph" w:customStyle="1" w:styleId="175">
    <w:name w:val="xl69"/>
    <w:basedOn w:val="1"/>
    <w:qFormat/>
    <w:uiPriority w:val="0"/>
    <w:pPr>
      <w:pBdr>
        <w:top w:val="single" w:color="auto" w:sz="4" w:space="0"/>
        <w:bottom w:val="single" w:color="auto" w:sz="4" w:space="0"/>
      </w:pBdr>
      <w:spacing w:before="100" w:beforeAutospacing="1" w:after="100" w:afterAutospacing="1"/>
      <w:jc w:val="right"/>
      <w:textAlignment w:val="center"/>
    </w:pPr>
    <w:rPr>
      <w:rFonts w:ascii="宋体" w:hAnsi="宋体" w:cs="宋体"/>
      <w:sz w:val="20"/>
    </w:rPr>
  </w:style>
  <w:style w:type="paragraph" w:customStyle="1" w:styleId="176">
    <w:name w:val="xl90"/>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22"/>
      <w:szCs w:val="28"/>
    </w:rPr>
  </w:style>
  <w:style w:type="paragraph" w:customStyle="1" w:styleId="177">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78">
    <w:name w:val="xl8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sz w:val="22"/>
      <w:szCs w:val="28"/>
    </w:rPr>
  </w:style>
  <w:style w:type="paragraph" w:customStyle="1" w:styleId="179">
    <w:name w:val="3"/>
    <w:basedOn w:val="1"/>
    <w:next w:val="25"/>
    <w:qFormat/>
    <w:uiPriority w:val="0"/>
    <w:pPr>
      <w:widowControl w:val="0"/>
      <w:jc w:val="both"/>
    </w:pPr>
    <w:rPr>
      <w:rFonts w:ascii="宋体" w:hAnsi="Courier New"/>
      <w:kern w:val="2"/>
    </w:rPr>
  </w:style>
  <w:style w:type="paragraph" w:customStyle="1" w:styleId="180">
    <w:name w:val="正文缩近"/>
    <w:basedOn w:val="1"/>
    <w:qFormat/>
    <w:uiPriority w:val="0"/>
    <w:pPr>
      <w:widowControl w:val="0"/>
      <w:spacing w:line="360" w:lineRule="auto"/>
      <w:ind w:firstLine="200" w:firstLineChars="200"/>
      <w:jc w:val="both"/>
    </w:pPr>
    <w:rPr>
      <w:kern w:val="2"/>
      <w:sz w:val="24"/>
      <w:szCs w:val="24"/>
    </w:rPr>
  </w:style>
  <w:style w:type="paragraph" w:customStyle="1" w:styleId="181">
    <w:name w:val="xl42"/>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82">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83">
    <w:name w:val="Char Char Char Char Char Char1 Char"/>
    <w:basedOn w:val="1"/>
    <w:qFormat/>
    <w:uiPriority w:val="0"/>
    <w:pPr>
      <w:spacing w:after="160" w:line="240" w:lineRule="exact"/>
    </w:pPr>
    <w:rPr>
      <w:rFonts w:ascii="Verdana" w:hAnsi="Verdana"/>
      <w:lang w:eastAsia="en-US"/>
    </w:rPr>
  </w:style>
  <w:style w:type="paragraph" w:customStyle="1" w:styleId="184">
    <w:name w:val="样式 样式 样式 宋体 四号 行距: 最小值 25 磅 + 首行缩进:  2 字符 + 首行缩进:  2 字符"/>
    <w:basedOn w:val="1"/>
    <w:qFormat/>
    <w:uiPriority w:val="0"/>
    <w:pPr>
      <w:widowControl w:val="0"/>
      <w:spacing w:line="500" w:lineRule="exact"/>
      <w:ind w:firstLine="576" w:firstLineChars="200"/>
    </w:pPr>
    <w:rPr>
      <w:rFonts w:ascii="宋体" w:hAnsi="宋体"/>
      <w:color w:val="000000"/>
      <w:spacing w:val="-20"/>
      <w:sz w:val="28"/>
    </w:rPr>
  </w:style>
  <w:style w:type="paragraph" w:customStyle="1" w:styleId="185">
    <w:name w:val="Char Char1 Char"/>
    <w:basedOn w:val="1"/>
    <w:qFormat/>
    <w:uiPriority w:val="0"/>
    <w:pPr>
      <w:widowControl w:val="0"/>
      <w:jc w:val="both"/>
    </w:pPr>
    <w:rPr>
      <w:kern w:val="2"/>
      <w:szCs w:val="24"/>
    </w:rPr>
  </w:style>
  <w:style w:type="paragraph" w:customStyle="1" w:styleId="186">
    <w:name w:val="投标文件3"/>
    <w:basedOn w:val="1"/>
    <w:qFormat/>
    <w:uiPriority w:val="0"/>
    <w:pPr>
      <w:spacing w:line="360" w:lineRule="auto"/>
      <w:jc w:val="both"/>
    </w:pPr>
    <w:rPr>
      <w:rFonts w:ascii="宋体" w:hAnsi="Courier New" w:eastAsia="黑体" w:cs="宋体"/>
      <w:b/>
      <w:bCs/>
      <w:kern w:val="2"/>
      <w:sz w:val="30"/>
      <w:szCs w:val="30"/>
    </w:rPr>
  </w:style>
  <w:style w:type="paragraph" w:customStyle="1" w:styleId="187">
    <w:name w:val="Char Char Char Char Char Char"/>
    <w:basedOn w:val="1"/>
    <w:qFormat/>
    <w:uiPriority w:val="0"/>
    <w:pPr>
      <w:widowControl w:val="0"/>
      <w:jc w:val="both"/>
    </w:pPr>
    <w:rPr>
      <w:rFonts w:ascii="Tahoma" w:hAnsi="Tahoma"/>
      <w:kern w:val="2"/>
      <w:sz w:val="24"/>
    </w:rPr>
  </w:style>
  <w:style w:type="paragraph" w:customStyle="1" w:styleId="188">
    <w:name w:val="无缩进正文"/>
    <w:basedOn w:val="1"/>
    <w:next w:val="1"/>
    <w:qFormat/>
    <w:uiPriority w:val="0"/>
    <w:pPr>
      <w:widowControl w:val="0"/>
      <w:spacing w:beforeLines="50" w:afterLines="50"/>
      <w:jc w:val="both"/>
    </w:pPr>
    <w:rPr>
      <w:rFonts w:ascii="Arial" w:hAnsi="Arial"/>
      <w:kern w:val="2"/>
      <w:sz w:val="24"/>
      <w:szCs w:val="24"/>
    </w:rPr>
  </w:style>
  <w:style w:type="paragraph" w:customStyle="1" w:styleId="189">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默认段落字体 Para Char Char Char Char Char Char Char"/>
    <w:basedOn w:val="1"/>
    <w:qFormat/>
    <w:uiPriority w:val="0"/>
    <w:pPr>
      <w:widowControl w:val="0"/>
      <w:jc w:val="both"/>
    </w:pPr>
    <w:rPr>
      <w:rFonts w:ascii="Tahoma" w:hAnsi="Tahoma"/>
      <w:kern w:val="2"/>
      <w:sz w:val="24"/>
    </w:rPr>
  </w:style>
  <w:style w:type="paragraph" w:customStyle="1" w:styleId="191">
    <w:name w:val="列出段落11"/>
    <w:basedOn w:val="1"/>
    <w:qFormat/>
    <w:uiPriority w:val="0"/>
    <w:pPr>
      <w:ind w:firstLine="420" w:firstLineChars="200"/>
    </w:pPr>
    <w:rPr>
      <w:sz w:val="24"/>
      <w:szCs w:val="24"/>
    </w:rPr>
  </w:style>
  <w:style w:type="paragraph" w:customStyle="1" w:styleId="192">
    <w:name w:val="135"/>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193">
    <w:name w:val="需求书2"/>
    <w:basedOn w:val="1"/>
    <w:qFormat/>
    <w:uiPriority w:val="0"/>
    <w:pPr>
      <w:widowControl w:val="0"/>
      <w:jc w:val="both"/>
    </w:pPr>
    <w:rPr>
      <w:rFonts w:ascii="宋体" w:hAnsi="宋体"/>
      <w:b/>
      <w:spacing w:val="10"/>
      <w:kern w:val="2"/>
      <w:sz w:val="24"/>
      <w:szCs w:val="24"/>
    </w:rPr>
  </w:style>
  <w:style w:type="paragraph" w:customStyle="1" w:styleId="194">
    <w:name w:val="Normal1"/>
    <w:basedOn w:val="1"/>
    <w:qFormat/>
    <w:uiPriority w:val="0"/>
    <w:pPr>
      <w:widowControl w:val="0"/>
      <w:numPr>
        <w:ilvl w:val="1"/>
        <w:numId w:val="7"/>
      </w:numPr>
      <w:tabs>
        <w:tab w:val="left" w:pos="360"/>
      </w:tabs>
      <w:spacing w:line="360" w:lineRule="auto"/>
      <w:jc w:val="both"/>
    </w:pPr>
    <w:rPr>
      <w:rFonts w:ascii="宋体" w:hAnsi="宋体" w:eastAsia="仿宋体"/>
      <w:szCs w:val="21"/>
    </w:rPr>
  </w:style>
  <w:style w:type="paragraph" w:customStyle="1" w:styleId="195">
    <w:name w:val="Char Char Char Char Char Char1 Char Char Char Char Char Char Char Char Char Char Char Char Char Char"/>
    <w:basedOn w:val="1"/>
    <w:qFormat/>
    <w:uiPriority w:val="0"/>
    <w:pPr>
      <w:spacing w:after="160" w:line="240" w:lineRule="exact"/>
    </w:pPr>
    <w:rPr>
      <w:rFonts w:ascii="Verdana" w:hAnsi="Verdana" w:eastAsia="仿宋_GB2312"/>
      <w:sz w:val="24"/>
      <w:lang w:eastAsia="en-US"/>
    </w:rPr>
  </w:style>
  <w:style w:type="paragraph" w:customStyle="1" w:styleId="196">
    <w:name w:val="xl79"/>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2"/>
      <w:szCs w:val="22"/>
    </w:rPr>
  </w:style>
  <w:style w:type="paragraph" w:customStyle="1" w:styleId="197">
    <w:name w:val="xl74"/>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sz w:val="24"/>
      <w:szCs w:val="24"/>
    </w:rPr>
  </w:style>
  <w:style w:type="paragraph" w:customStyle="1" w:styleId="198">
    <w:name w:val="(标书)正文 Char"/>
    <w:basedOn w:val="1"/>
    <w:qFormat/>
    <w:uiPriority w:val="0"/>
    <w:pPr>
      <w:widowControl w:val="0"/>
      <w:spacing w:line="480" w:lineRule="auto"/>
      <w:ind w:firstLine="522"/>
    </w:pPr>
    <w:rPr>
      <w:spacing w:val="10"/>
      <w:sz w:val="24"/>
      <w:szCs w:val="24"/>
    </w:rPr>
  </w:style>
  <w:style w:type="paragraph" w:customStyle="1" w:styleId="199">
    <w:name w:val="正文 首行缩进:  2 字符"/>
    <w:basedOn w:val="1"/>
    <w:qFormat/>
    <w:uiPriority w:val="0"/>
    <w:pPr>
      <w:spacing w:line="360" w:lineRule="auto"/>
      <w:ind w:firstLine="480" w:firstLineChars="200"/>
    </w:pPr>
    <w:rPr>
      <w:rFonts w:cs="宋体"/>
      <w:sz w:val="24"/>
    </w:rPr>
  </w:style>
  <w:style w:type="paragraph" w:customStyle="1" w:styleId="200">
    <w:name w:val="文章总标题"/>
    <w:basedOn w:val="1"/>
    <w:next w:val="201"/>
    <w:qFormat/>
    <w:uiPriority w:val="0"/>
    <w:pPr>
      <w:spacing w:before="566" w:after="544" w:line="566" w:lineRule="atLeast"/>
      <w:jc w:val="center"/>
      <w:textAlignment w:val="baseline"/>
    </w:pPr>
    <w:rPr>
      <w:rFonts w:ascii="Arial" w:eastAsia="黑体"/>
      <w:color w:val="000000"/>
      <w:sz w:val="54"/>
      <w:u w:val="none" w:color="000000"/>
    </w:rPr>
  </w:style>
  <w:style w:type="paragraph" w:customStyle="1" w:styleId="201">
    <w:name w:val="文章副标题"/>
    <w:basedOn w:val="1"/>
    <w:next w:val="202"/>
    <w:qFormat/>
    <w:uiPriority w:val="0"/>
    <w:pPr>
      <w:spacing w:before="187" w:after="175" w:line="374" w:lineRule="atLeast"/>
      <w:jc w:val="center"/>
      <w:textAlignment w:val="baseline"/>
    </w:pPr>
    <w:rPr>
      <w:color w:val="000000"/>
      <w:sz w:val="36"/>
      <w:u w:val="none" w:color="000000"/>
    </w:rPr>
  </w:style>
  <w:style w:type="paragraph" w:customStyle="1" w:styleId="202">
    <w:name w:val="章标题"/>
    <w:basedOn w:val="1"/>
    <w:next w:val="203"/>
    <w:qFormat/>
    <w:uiPriority w:val="0"/>
    <w:pPr>
      <w:spacing w:before="158" w:after="153" w:line="323" w:lineRule="atLeast"/>
      <w:jc w:val="center"/>
      <w:textAlignment w:val="baseline"/>
    </w:pPr>
    <w:rPr>
      <w:rFonts w:ascii="Arial" w:eastAsia="黑体"/>
      <w:color w:val="000000"/>
      <w:sz w:val="31"/>
      <w:u w:val="none" w:color="000000"/>
    </w:rPr>
  </w:style>
  <w:style w:type="paragraph" w:customStyle="1" w:styleId="203">
    <w:name w:val="节标题"/>
    <w:basedOn w:val="1"/>
    <w:next w:val="1"/>
    <w:qFormat/>
    <w:uiPriority w:val="0"/>
    <w:pPr>
      <w:spacing w:line="289" w:lineRule="atLeast"/>
      <w:jc w:val="center"/>
    </w:pPr>
    <w:rPr>
      <w:color w:val="000000"/>
      <w:sz w:val="28"/>
      <w:u w:val="none" w:color="000000"/>
    </w:rPr>
  </w:style>
  <w:style w:type="paragraph" w:customStyle="1" w:styleId="204">
    <w:name w:val="xl61"/>
    <w:basedOn w:val="1"/>
    <w:qFormat/>
    <w:uiPriority w:val="0"/>
    <w:pPr>
      <w:pBdr>
        <w:top w:val="single" w:color="auto" w:sz="4" w:space="0"/>
        <w:bottom w:val="single" w:color="auto" w:sz="4" w:space="0"/>
      </w:pBdr>
      <w:spacing w:before="100" w:beforeAutospacing="1" w:after="100" w:afterAutospacing="1"/>
      <w:jc w:val="center"/>
      <w:textAlignment w:val="center"/>
    </w:pPr>
    <w:rPr>
      <w:rFonts w:ascii="宋体" w:hAnsi="宋体" w:cs="宋体"/>
      <w:sz w:val="20"/>
    </w:rPr>
  </w:style>
  <w:style w:type="paragraph" w:customStyle="1" w:styleId="205">
    <w:name w:val="xl78"/>
    <w:basedOn w:val="1"/>
    <w:qFormat/>
    <w:uiPriority w:val="0"/>
    <w:pPr>
      <w:pBdr>
        <w:top w:val="single" w:color="auto" w:sz="4" w:space="0"/>
        <w:bottom w:val="single" w:color="auto" w:sz="4" w:space="0"/>
      </w:pBdr>
      <w:spacing w:before="100" w:beforeAutospacing="1" w:after="100" w:afterAutospacing="1"/>
      <w:jc w:val="right"/>
      <w:textAlignment w:val="center"/>
    </w:pPr>
    <w:rPr>
      <w:rFonts w:ascii="宋体" w:hAnsi="宋体" w:cs="宋体"/>
      <w:b/>
      <w:bCs/>
      <w:sz w:val="22"/>
      <w:szCs w:val="22"/>
    </w:rPr>
  </w:style>
  <w:style w:type="paragraph" w:customStyle="1" w:styleId="206">
    <w:name w:val="xl55"/>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207">
    <w:name w:val="p0"/>
    <w:basedOn w:val="1"/>
    <w:qFormat/>
    <w:uiPriority w:val="0"/>
    <w:pPr>
      <w:spacing w:line="365" w:lineRule="atLeast"/>
      <w:ind w:left="1"/>
      <w:jc w:val="both"/>
      <w:textAlignment w:val="bottom"/>
    </w:pPr>
    <w:rPr>
      <w:sz w:val="20"/>
    </w:rPr>
  </w:style>
  <w:style w:type="paragraph" w:customStyle="1" w:styleId="208">
    <w:name w:val="无列表1"/>
    <w:qFormat/>
    <w:uiPriority w:val="0"/>
    <w:pPr>
      <w:spacing w:line="351" w:lineRule="atLeast"/>
      <w:ind w:firstLine="419"/>
      <w:jc w:val="both"/>
      <w:textAlignment w:val="baseline"/>
    </w:pPr>
    <w:rPr>
      <w:rFonts w:ascii="Times New Roman" w:hAnsi="Times New Roman" w:eastAsia="宋体" w:cs="Times New Roman"/>
      <w:color w:val="000000"/>
      <w:sz w:val="21"/>
      <w:u w:val="none" w:color="000000"/>
      <w:lang w:val="en-US" w:eastAsia="zh-CN" w:bidi="ar-SA"/>
    </w:rPr>
  </w:style>
  <w:style w:type="paragraph" w:customStyle="1" w:styleId="209">
    <w:name w:val="tabletext"/>
    <w:basedOn w:val="1"/>
    <w:qFormat/>
    <w:uiPriority w:val="0"/>
    <w:pPr>
      <w:spacing w:before="100" w:beforeAutospacing="1" w:after="100" w:afterAutospacing="1" w:line="209" w:lineRule="atLeast"/>
    </w:pPr>
    <w:rPr>
      <w:rFonts w:ascii="宋体" w:hAnsi="宋体"/>
      <w:sz w:val="16"/>
      <w:szCs w:val="16"/>
    </w:rPr>
  </w:style>
  <w:style w:type="paragraph" w:customStyle="1" w:styleId="210">
    <w:name w:val="正文1"/>
    <w:basedOn w:val="1"/>
    <w:next w:val="1"/>
    <w:qFormat/>
    <w:uiPriority w:val="0"/>
    <w:pPr>
      <w:widowControl w:val="0"/>
      <w:spacing w:before="100" w:beforeAutospacing="1" w:after="100" w:afterAutospacing="1" w:line="400" w:lineRule="exact"/>
      <w:ind w:firstLine="480" w:firstLineChars="200"/>
    </w:pPr>
    <w:rPr>
      <w:rFonts w:ascii="Arial" w:hAnsi="Arial"/>
      <w:kern w:val="2"/>
      <w:sz w:val="24"/>
      <w:szCs w:val="24"/>
    </w:rPr>
  </w:style>
  <w:style w:type="paragraph" w:customStyle="1" w:styleId="211">
    <w:name w:val="130"/>
    <w:basedOn w:val="1"/>
    <w:qFormat/>
    <w:uiPriority w:val="0"/>
    <w:pPr>
      <w:spacing w:before="100" w:beforeAutospacing="1" w:after="100" w:afterAutospacing="1" w:line="324" w:lineRule="auto"/>
    </w:pPr>
    <w:rPr>
      <w:rFonts w:ascii="宋体" w:hAnsi="宋体"/>
      <w:color w:val="000000"/>
      <w:sz w:val="24"/>
      <w:szCs w:val="24"/>
    </w:rPr>
  </w:style>
  <w:style w:type="paragraph" w:customStyle="1" w:styleId="212">
    <w:name w:val="样式 标题 3H3h3正文三级标题l3CTheading 33rd levelTitle3MapH31He..."/>
    <w:basedOn w:val="6"/>
    <w:qFormat/>
    <w:uiPriority w:val="0"/>
    <w:pPr>
      <w:keepNext/>
      <w:keepLines/>
      <w:tabs>
        <w:tab w:val="clear" w:pos="864"/>
      </w:tabs>
      <w:adjustRightInd/>
      <w:snapToGrid/>
      <w:spacing w:before="280" w:after="290" w:line="540" w:lineRule="exact"/>
      <w:ind w:left="0" w:firstLine="0"/>
    </w:pPr>
    <w:rPr>
      <w:rFonts w:ascii="黑体" w:eastAsia="黑体"/>
      <w:b/>
      <w:bCs/>
      <w:color w:val="auto"/>
      <w:kern w:val="2"/>
      <w:sz w:val="30"/>
    </w:rPr>
  </w:style>
  <w:style w:type="paragraph" w:customStyle="1" w:styleId="213">
    <w:name w:val="xl46"/>
    <w:basedOn w:val="1"/>
    <w:qFormat/>
    <w:uiPriority w:val="0"/>
    <w:pPr>
      <w:pBdr>
        <w:top w:val="single" w:color="auto" w:sz="4" w:space="0"/>
        <w:right w:val="single" w:color="auto" w:sz="4" w:space="0"/>
      </w:pBdr>
      <w:spacing w:before="100" w:beforeAutospacing="1" w:after="100" w:afterAutospacing="1"/>
      <w:jc w:val="center"/>
      <w:textAlignment w:val="center"/>
    </w:pPr>
    <w:rPr>
      <w:rFonts w:ascii="宋体" w:hAnsi="宋体" w:cs="宋体"/>
      <w:b/>
      <w:bCs/>
      <w:sz w:val="22"/>
      <w:szCs w:val="22"/>
    </w:rPr>
  </w:style>
  <w:style w:type="paragraph" w:customStyle="1" w:styleId="214">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15">
    <w:name w:val="ÕýÎÄ 1"/>
    <w:basedOn w:val="1"/>
    <w:qFormat/>
    <w:uiPriority w:val="0"/>
    <w:pPr>
      <w:overflowPunct w:val="0"/>
      <w:autoSpaceDE w:val="0"/>
      <w:autoSpaceDN w:val="0"/>
      <w:adjustRightInd w:val="0"/>
      <w:spacing w:before="80" w:after="80" w:line="360" w:lineRule="auto"/>
      <w:ind w:left="1417"/>
      <w:jc w:val="both"/>
      <w:textAlignment w:val="baseline"/>
    </w:pPr>
  </w:style>
  <w:style w:type="paragraph" w:customStyle="1" w:styleId="216">
    <w:name w:val="content"/>
    <w:basedOn w:val="1"/>
    <w:qFormat/>
    <w:uiPriority w:val="0"/>
    <w:pPr>
      <w:spacing w:before="100" w:beforeAutospacing="1" w:after="100" w:afterAutospacing="1" w:line="280" w:lineRule="atLeast"/>
      <w:ind w:firstLine="434"/>
    </w:pPr>
    <w:rPr>
      <w:rFonts w:ascii="宋体" w:hAnsi="宋体" w:cs="宋体"/>
      <w:color w:val="000000"/>
      <w:szCs w:val="21"/>
    </w:rPr>
  </w:style>
  <w:style w:type="paragraph" w:customStyle="1" w:styleId="217">
    <w:name w:val="Char"/>
    <w:basedOn w:val="1"/>
    <w:qFormat/>
    <w:uiPriority w:val="0"/>
    <w:pPr>
      <w:widowControl w:val="0"/>
      <w:jc w:val="both"/>
    </w:pPr>
    <w:rPr>
      <w:rFonts w:ascii="Tahoma" w:hAnsi="Tahoma"/>
      <w:kern w:val="2"/>
      <w:sz w:val="24"/>
    </w:rPr>
  </w:style>
  <w:style w:type="paragraph" w:customStyle="1" w:styleId="218">
    <w:name w:val="普通 (Web)"/>
    <w:basedOn w:val="1"/>
    <w:qFormat/>
    <w:uiPriority w:val="0"/>
    <w:pPr>
      <w:spacing w:before="100" w:beforeAutospacing="1" w:after="100" w:afterAutospacing="1"/>
    </w:pPr>
    <w:rPr>
      <w:rFonts w:ascii="宋体" w:hAnsi="宋体"/>
      <w:sz w:val="24"/>
    </w:rPr>
  </w:style>
  <w:style w:type="paragraph" w:customStyle="1" w:styleId="219">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sz w:val="24"/>
      <w:szCs w:val="24"/>
    </w:rPr>
  </w:style>
  <w:style w:type="paragraph" w:customStyle="1" w:styleId="220">
    <w:name w:val="xl44"/>
    <w:basedOn w:val="1"/>
    <w:qFormat/>
    <w:uiPriority w:val="0"/>
    <w:pPr>
      <w:pBdr>
        <w:top w:val="single" w:color="auto" w:sz="4" w:space="0"/>
        <w:left w:val="single" w:color="auto" w:sz="4" w:space="0"/>
      </w:pBdr>
      <w:spacing w:before="100" w:beforeAutospacing="1" w:after="100" w:afterAutospacing="1"/>
      <w:jc w:val="center"/>
      <w:textAlignment w:val="center"/>
    </w:pPr>
    <w:rPr>
      <w:rFonts w:ascii="宋体" w:hAnsi="宋体" w:cs="宋体"/>
      <w:b/>
      <w:bCs/>
      <w:sz w:val="22"/>
      <w:szCs w:val="22"/>
    </w:rPr>
  </w:style>
  <w:style w:type="paragraph" w:customStyle="1" w:styleId="221">
    <w:name w:val="f12pt1"/>
    <w:basedOn w:val="1"/>
    <w:qFormat/>
    <w:uiPriority w:val="0"/>
    <w:pPr>
      <w:spacing w:before="100" w:beforeAutospacing="1" w:after="100" w:afterAutospacing="1"/>
    </w:pPr>
    <w:rPr>
      <w:rFonts w:ascii="_GB2312" w:hAnsi="_GB2312"/>
      <w:color w:val="000000"/>
      <w:szCs w:val="21"/>
    </w:rPr>
  </w:style>
  <w:style w:type="paragraph" w:customStyle="1" w:styleId="222">
    <w:name w:val="±íÉí"/>
    <w:basedOn w:val="1"/>
    <w:qFormat/>
    <w:uiPriority w:val="0"/>
    <w:pPr>
      <w:overflowPunct w:val="0"/>
      <w:autoSpaceDE w:val="0"/>
      <w:autoSpaceDN w:val="0"/>
      <w:adjustRightInd w:val="0"/>
      <w:spacing w:line="300" w:lineRule="auto"/>
      <w:textAlignment w:val="baseline"/>
    </w:pPr>
    <w:rPr>
      <w:sz w:val="18"/>
    </w:rPr>
  </w:style>
  <w:style w:type="paragraph" w:customStyle="1" w:styleId="223">
    <w:name w:val="Char11"/>
    <w:basedOn w:val="1"/>
    <w:qFormat/>
    <w:uiPriority w:val="0"/>
    <w:pPr>
      <w:spacing w:after="160" w:line="240" w:lineRule="exact"/>
    </w:pPr>
    <w:rPr>
      <w:rFonts w:ascii="Verdana" w:hAnsi="Verdana" w:eastAsia="仿宋_GB2312"/>
      <w:sz w:val="24"/>
      <w:lang w:eastAsia="en-US"/>
    </w:rPr>
  </w:style>
  <w:style w:type="paragraph" w:customStyle="1" w:styleId="224">
    <w:name w:val="文字"/>
    <w:basedOn w:val="1"/>
    <w:link w:val="320"/>
    <w:qFormat/>
    <w:uiPriority w:val="0"/>
    <w:pPr>
      <w:widowControl w:val="0"/>
      <w:tabs>
        <w:tab w:val="left" w:pos="8520"/>
      </w:tabs>
      <w:spacing w:line="312" w:lineRule="auto"/>
      <w:ind w:right="-210" w:firstLine="556"/>
      <w:jc w:val="both"/>
    </w:pPr>
    <w:rPr>
      <w:rFonts w:ascii="宋体"/>
      <w:kern w:val="2"/>
      <w:sz w:val="28"/>
    </w:rPr>
  </w:style>
  <w:style w:type="paragraph" w:customStyle="1" w:styleId="225">
    <w:name w:val="列出段落2"/>
    <w:basedOn w:val="1"/>
    <w:qFormat/>
    <w:uiPriority w:val="0"/>
    <w:pPr>
      <w:ind w:firstLine="420" w:firstLineChars="200"/>
    </w:pPr>
    <w:rPr>
      <w:rFonts w:ascii="宋体" w:hAnsi="宋体" w:cs="宋体"/>
      <w:sz w:val="24"/>
      <w:szCs w:val="24"/>
    </w:rPr>
  </w:style>
  <w:style w:type="paragraph" w:customStyle="1" w:styleId="226">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xl80"/>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22"/>
      <w:szCs w:val="28"/>
    </w:rPr>
  </w:style>
  <w:style w:type="paragraph" w:customStyle="1" w:styleId="228">
    <w:name w:val="投标文件2"/>
    <w:basedOn w:val="1"/>
    <w:qFormat/>
    <w:uiPriority w:val="0"/>
    <w:pPr>
      <w:widowControl w:val="0"/>
      <w:spacing w:line="480" w:lineRule="auto"/>
      <w:ind w:left="1134"/>
      <w:jc w:val="center"/>
      <w:outlineLvl w:val="0"/>
    </w:pPr>
    <w:rPr>
      <w:rFonts w:ascii="宋体"/>
      <w:b/>
      <w:kern w:val="2"/>
      <w:sz w:val="30"/>
    </w:rPr>
  </w:style>
  <w:style w:type="paragraph" w:customStyle="1" w:styleId="229">
    <w:name w:val="正文内容"/>
    <w:basedOn w:val="1"/>
    <w:link w:val="322"/>
    <w:qFormat/>
    <w:uiPriority w:val="0"/>
    <w:pPr>
      <w:widowControl w:val="0"/>
      <w:jc w:val="both"/>
    </w:pPr>
    <w:rPr>
      <w:rFonts w:ascii="Arial" w:hAnsi="Arial"/>
      <w:spacing w:val="-12"/>
      <w:kern w:val="2"/>
    </w:rPr>
  </w:style>
  <w:style w:type="paragraph" w:customStyle="1" w:styleId="230">
    <w:name w:val="xl76"/>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4"/>
      <w:szCs w:val="24"/>
    </w:rPr>
  </w:style>
  <w:style w:type="paragraph" w:customStyle="1" w:styleId="231">
    <w:name w:val="font9"/>
    <w:basedOn w:val="1"/>
    <w:qFormat/>
    <w:uiPriority w:val="0"/>
    <w:pPr>
      <w:spacing w:before="100" w:beforeAutospacing="1" w:after="100" w:afterAutospacing="1"/>
    </w:pPr>
    <w:rPr>
      <w:rFonts w:ascii="宋体" w:hAnsi="宋体" w:cs="宋体"/>
      <w:b/>
      <w:bCs/>
      <w:sz w:val="24"/>
      <w:szCs w:val="24"/>
    </w:rPr>
  </w:style>
  <w:style w:type="paragraph" w:customStyle="1" w:styleId="232">
    <w:name w:val="真正正文+首缩2"/>
    <w:basedOn w:val="1"/>
    <w:link w:val="285"/>
    <w:qFormat/>
    <w:uiPriority w:val="0"/>
    <w:pPr>
      <w:widowControl w:val="0"/>
      <w:adjustRightInd w:val="0"/>
      <w:snapToGrid w:val="0"/>
      <w:spacing w:line="360" w:lineRule="auto"/>
      <w:ind w:firstLine="571" w:firstLineChars="200"/>
      <w:jc w:val="both"/>
    </w:pPr>
    <w:rPr>
      <w:rFonts w:eastAsia="仿宋_GB2312"/>
      <w:kern w:val="2"/>
      <w:sz w:val="28"/>
      <w:szCs w:val="28"/>
    </w:rPr>
  </w:style>
  <w:style w:type="paragraph" w:customStyle="1" w:styleId="233">
    <w:name w:val="默认段落字体 Para Char Char Char Char1 Char Char Char"/>
    <w:basedOn w:val="1"/>
    <w:qFormat/>
    <w:uiPriority w:val="0"/>
    <w:pPr>
      <w:widowControl w:val="0"/>
      <w:jc w:val="both"/>
    </w:pPr>
    <w:rPr>
      <w:kern w:val="2"/>
      <w:szCs w:val="21"/>
    </w:rPr>
  </w:style>
  <w:style w:type="paragraph" w:customStyle="1" w:styleId="234">
    <w:name w:val="标题 4 宋体"/>
    <w:basedOn w:val="62"/>
    <w:qFormat/>
    <w:uiPriority w:val="0"/>
    <w:rPr>
      <w:rFonts w:ascii="宋体" w:hAnsi="宋体" w:eastAsia="宋体"/>
      <w:b/>
      <w:bCs/>
      <w:kern w:val="2"/>
      <w:sz w:val="22"/>
    </w:rPr>
  </w:style>
  <w:style w:type="paragraph" w:customStyle="1" w:styleId="235">
    <w:name w:val="00"/>
    <w:basedOn w:val="1"/>
    <w:qFormat/>
    <w:uiPriority w:val="0"/>
    <w:pPr>
      <w:widowControl w:val="0"/>
      <w:autoSpaceDE w:val="0"/>
      <w:autoSpaceDN w:val="0"/>
      <w:adjustRightInd w:val="0"/>
    </w:pPr>
    <w:rPr>
      <w:rFonts w:ascii="黑体" w:eastAsia="黑体"/>
      <w:b/>
      <w:bCs/>
      <w:sz w:val="20"/>
    </w:rPr>
  </w:style>
  <w:style w:type="paragraph" w:customStyle="1" w:styleId="236">
    <w:name w:val="Char Char Char Char Char Char Char Char Char Char Char Char Char Char Char Char Char"/>
    <w:basedOn w:val="1"/>
    <w:qFormat/>
    <w:uiPriority w:val="0"/>
    <w:pPr>
      <w:spacing w:after="160" w:line="240" w:lineRule="exact"/>
    </w:pPr>
    <w:rPr>
      <w:rFonts w:ascii="Verdana" w:hAnsi="Verdana" w:eastAsia="仿宋_GB2312" w:cs="Verdana"/>
      <w:sz w:val="24"/>
      <w:szCs w:val="24"/>
      <w:lang w:eastAsia="en-US"/>
    </w:rPr>
  </w:style>
  <w:style w:type="paragraph" w:customStyle="1" w:styleId="237">
    <w:name w:val="标题 3 + 宋体"/>
    <w:basedOn w:val="4"/>
    <w:qFormat/>
    <w:uiPriority w:val="0"/>
    <w:pPr>
      <w:widowControl w:val="0"/>
      <w:adjustRightInd/>
      <w:snapToGrid/>
      <w:spacing w:before="260" w:after="260" w:line="416" w:lineRule="auto"/>
      <w:jc w:val="both"/>
    </w:pPr>
    <w:rPr>
      <w:rFonts w:hAnsi="宋体"/>
      <w:bCs/>
      <w:sz w:val="28"/>
      <w:szCs w:val="32"/>
    </w:rPr>
  </w:style>
  <w:style w:type="paragraph" w:customStyle="1" w:styleId="238">
    <w:name w:val="Char Char Char Char Char Char1 Char Char"/>
    <w:basedOn w:val="1"/>
    <w:qFormat/>
    <w:uiPriority w:val="0"/>
    <w:pPr>
      <w:spacing w:after="160" w:line="240" w:lineRule="exact"/>
      <w:ind w:left="264" w:firstLine="280"/>
    </w:pPr>
    <w:rPr>
      <w:rFonts w:ascii="Verdana" w:hAnsi="Verdana"/>
      <w:b/>
      <w:bCs/>
      <w:sz w:val="24"/>
      <w:lang w:eastAsia="en-US"/>
    </w:rPr>
  </w:style>
  <w:style w:type="paragraph" w:customStyle="1" w:styleId="239">
    <w:name w:val="Char Char2 Char"/>
    <w:basedOn w:val="1"/>
    <w:qFormat/>
    <w:uiPriority w:val="0"/>
    <w:pPr>
      <w:widowControl w:val="0"/>
      <w:jc w:val="both"/>
    </w:pPr>
    <w:rPr>
      <w:rFonts w:ascii="宋体" w:hAnsi="宋体"/>
      <w:b/>
      <w:kern w:val="2"/>
      <w:sz w:val="28"/>
      <w:szCs w:val="28"/>
    </w:rPr>
  </w:style>
  <w:style w:type="paragraph" w:customStyle="1" w:styleId="240">
    <w:name w:val="List Paragraph1"/>
    <w:basedOn w:val="1"/>
    <w:qFormat/>
    <w:uiPriority w:val="0"/>
    <w:pPr>
      <w:ind w:firstLine="420" w:firstLineChars="200"/>
    </w:pPr>
    <w:rPr>
      <w:rFonts w:ascii="Calibri" w:hAnsi="Calibri" w:cs="Calibri"/>
      <w:szCs w:val="21"/>
    </w:rPr>
  </w:style>
  <w:style w:type="paragraph" w:customStyle="1" w:styleId="241">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sz w:val="20"/>
    </w:rPr>
  </w:style>
  <w:style w:type="paragraph" w:customStyle="1" w:styleId="242">
    <w:name w:val="xl47"/>
    <w:basedOn w:val="1"/>
    <w:qFormat/>
    <w:uiPriority w:val="0"/>
    <w:pPr>
      <w:pBdr>
        <w:left w:val="single" w:color="auto" w:sz="4" w:space="0"/>
        <w:bottom w:val="single" w:color="auto" w:sz="4" w:space="0"/>
      </w:pBdr>
      <w:spacing w:before="100" w:beforeAutospacing="1" w:after="100" w:afterAutospacing="1"/>
      <w:jc w:val="center"/>
      <w:textAlignment w:val="center"/>
    </w:pPr>
    <w:rPr>
      <w:rFonts w:ascii="宋体" w:hAnsi="宋体" w:cs="宋体"/>
      <w:sz w:val="22"/>
      <w:szCs w:val="22"/>
    </w:rPr>
  </w:style>
  <w:style w:type="paragraph" w:customStyle="1" w:styleId="243">
    <w:name w:val="xl84"/>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sz w:val="22"/>
      <w:szCs w:val="28"/>
    </w:rPr>
  </w:style>
  <w:style w:type="paragraph" w:customStyle="1" w:styleId="244">
    <w:name w:val="Char Char Char"/>
    <w:basedOn w:val="1"/>
    <w:qFormat/>
    <w:uiPriority w:val="0"/>
    <w:pPr>
      <w:widowControl w:val="0"/>
      <w:jc w:val="both"/>
    </w:pPr>
    <w:rPr>
      <w:rFonts w:ascii="Tahoma" w:hAnsi="Tahoma" w:eastAsia="黑体"/>
      <w:b/>
      <w:sz w:val="24"/>
    </w:rPr>
  </w:style>
  <w:style w:type="paragraph" w:customStyle="1" w:styleId="245">
    <w:name w:val="封面_项目开发单位"/>
    <w:basedOn w:val="25"/>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46">
    <w:name w:val="Table Paragraph"/>
    <w:basedOn w:val="1"/>
    <w:qFormat/>
    <w:uiPriority w:val="0"/>
    <w:pPr>
      <w:widowControl w:val="0"/>
      <w:autoSpaceDE w:val="0"/>
      <w:autoSpaceDN w:val="0"/>
      <w:adjustRightInd w:val="0"/>
    </w:pPr>
    <w:rPr>
      <w:sz w:val="24"/>
      <w:szCs w:val="24"/>
    </w:rPr>
  </w:style>
  <w:style w:type="paragraph" w:customStyle="1" w:styleId="247">
    <w:name w:val="attention naked"/>
    <w:basedOn w:val="1"/>
    <w:qFormat/>
    <w:uiPriority w:val="0"/>
    <w:pPr>
      <w:spacing w:before="100" w:beforeAutospacing="1" w:after="100" w:afterAutospacing="1"/>
    </w:pPr>
    <w:rPr>
      <w:rFonts w:ascii="宋体" w:hAnsi="宋体" w:cs="宋体"/>
      <w:sz w:val="24"/>
      <w:szCs w:val="24"/>
    </w:rPr>
  </w:style>
  <w:style w:type="paragraph" w:customStyle="1" w:styleId="248">
    <w:name w:val="xl63"/>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sz w:val="20"/>
    </w:rPr>
  </w:style>
  <w:style w:type="paragraph" w:customStyle="1" w:styleId="249">
    <w:name w:val="Char Char Char1"/>
    <w:basedOn w:val="1"/>
    <w:qFormat/>
    <w:uiPriority w:val="0"/>
    <w:pPr>
      <w:widowControl w:val="0"/>
      <w:jc w:val="both"/>
    </w:pPr>
    <w:rPr>
      <w:rFonts w:ascii="Tahoma" w:hAnsi="Tahoma"/>
      <w:kern w:val="2"/>
      <w:sz w:val="24"/>
    </w:rPr>
  </w:style>
  <w:style w:type="paragraph" w:customStyle="1" w:styleId="250">
    <w:name w:val="正文样式1"/>
    <w:basedOn w:val="1"/>
    <w:qFormat/>
    <w:uiPriority w:val="0"/>
    <w:pPr>
      <w:widowControl w:val="0"/>
      <w:spacing w:line="360" w:lineRule="auto"/>
      <w:ind w:firstLine="510"/>
      <w:jc w:val="both"/>
    </w:pPr>
    <w:rPr>
      <w:rFonts w:ascii="Arial" w:hAnsi="Arial"/>
      <w:kern w:val="2"/>
      <w:sz w:val="24"/>
    </w:rPr>
  </w:style>
  <w:style w:type="paragraph" w:customStyle="1" w:styleId="251">
    <w:name w:val="xl89"/>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sz w:val="22"/>
      <w:szCs w:val="28"/>
    </w:rPr>
  </w:style>
  <w:style w:type="paragraph" w:customStyle="1" w:styleId="252">
    <w:name w:val="tb-public-price1"/>
    <w:basedOn w:val="1"/>
    <w:qFormat/>
    <w:uiPriority w:val="0"/>
    <w:pPr>
      <w:pBdr>
        <w:top w:val="single" w:color="D7D7D7" w:sz="6" w:space="6"/>
        <w:left w:val="single" w:color="D7D7D7" w:sz="6" w:space="8"/>
        <w:bottom w:val="single" w:color="D7D7D7" w:sz="6" w:space="6"/>
        <w:right w:val="single" w:color="D7D7D7" w:sz="6" w:space="8"/>
      </w:pBdr>
      <w:shd w:val="clear" w:color="auto" w:fill="F9F9F9"/>
      <w:spacing w:before="100" w:beforeAutospacing="1" w:after="100" w:afterAutospacing="1"/>
    </w:pPr>
    <w:rPr>
      <w:rFonts w:ascii="宋体" w:hAnsi="宋体" w:cs="宋体"/>
      <w:sz w:val="24"/>
      <w:szCs w:val="24"/>
    </w:rPr>
  </w:style>
  <w:style w:type="paragraph" w:customStyle="1" w:styleId="253">
    <w:name w:val="pa-5"/>
    <w:basedOn w:val="1"/>
    <w:qFormat/>
    <w:uiPriority w:val="0"/>
    <w:pPr>
      <w:spacing w:line="280" w:lineRule="atLeast"/>
      <w:jc w:val="both"/>
    </w:pPr>
    <w:rPr>
      <w:rFonts w:ascii="宋体" w:hAnsi="宋体" w:cs="宋体"/>
      <w:sz w:val="24"/>
      <w:szCs w:val="24"/>
    </w:rPr>
  </w:style>
  <w:style w:type="paragraph" w:customStyle="1" w:styleId="254">
    <w:name w:val="xl52"/>
    <w:basedOn w:val="1"/>
    <w:qFormat/>
    <w:uiPriority w:val="0"/>
    <w:pPr>
      <w:pBdr>
        <w:top w:val="single" w:color="auto" w:sz="4" w:space="0"/>
        <w:bottom w:val="single" w:color="auto" w:sz="4" w:space="0"/>
      </w:pBdr>
      <w:spacing w:before="100" w:beforeAutospacing="1" w:after="100" w:afterAutospacing="1"/>
      <w:textAlignment w:val="center"/>
    </w:pPr>
    <w:rPr>
      <w:rFonts w:ascii="宋体" w:hAnsi="宋体" w:cs="宋体"/>
      <w:sz w:val="24"/>
      <w:szCs w:val="24"/>
    </w:rPr>
  </w:style>
  <w:style w:type="paragraph" w:customStyle="1" w:styleId="255">
    <w:name w:val="样式4"/>
    <w:basedOn w:val="1"/>
    <w:qFormat/>
    <w:uiPriority w:val="0"/>
    <w:pPr>
      <w:widowControl w:val="0"/>
      <w:tabs>
        <w:tab w:val="left" w:pos="780"/>
      </w:tabs>
      <w:spacing w:line="480" w:lineRule="auto"/>
      <w:ind w:left="780" w:hanging="420"/>
      <w:jc w:val="both"/>
    </w:pPr>
    <w:rPr>
      <w:rFonts w:cs="宋体"/>
      <w:color w:val="292929"/>
      <w:kern w:val="2"/>
      <w:sz w:val="24"/>
    </w:rPr>
  </w:style>
  <w:style w:type="paragraph" w:customStyle="1" w:styleId="256">
    <w:name w:val="表格内容"/>
    <w:basedOn w:val="1"/>
    <w:next w:val="1"/>
    <w:qFormat/>
    <w:uiPriority w:val="0"/>
    <w:pPr>
      <w:widowControl w:val="0"/>
      <w:spacing w:line="312" w:lineRule="auto"/>
      <w:jc w:val="both"/>
    </w:pPr>
    <w:rPr>
      <w:rFonts w:ascii="宋体"/>
      <w:kern w:val="2"/>
    </w:rPr>
  </w:style>
  <w:style w:type="paragraph" w:customStyle="1" w:styleId="257">
    <w:name w:val="Char2"/>
    <w:basedOn w:val="18"/>
    <w:link w:val="352"/>
    <w:qFormat/>
    <w:uiPriority w:val="0"/>
    <w:pPr>
      <w:widowControl w:val="0"/>
      <w:adjustRightInd w:val="0"/>
      <w:jc w:val="both"/>
      <w:textAlignment w:val="baseline"/>
    </w:pPr>
    <w:rPr>
      <w:rFonts w:ascii="Tahoma" w:hAnsi="Tahoma"/>
      <w:kern w:val="2"/>
      <w:sz w:val="24"/>
      <w:szCs w:val="24"/>
    </w:rPr>
  </w:style>
  <w:style w:type="paragraph" w:customStyle="1" w:styleId="258">
    <w:name w:val="Default"/>
    <w:link w:val="374"/>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59">
    <w:name w:val="Char Char Char Char Char Char Char"/>
    <w:basedOn w:val="1"/>
    <w:qFormat/>
    <w:uiPriority w:val="0"/>
    <w:pPr>
      <w:widowControl w:val="0"/>
      <w:tabs>
        <w:tab w:val="left" w:pos="425"/>
      </w:tabs>
      <w:ind w:left="425" w:hanging="425"/>
      <w:jc w:val="both"/>
    </w:pPr>
    <w:rPr>
      <w:rFonts w:eastAsia="仿宋_GB2312"/>
      <w:kern w:val="24"/>
      <w:sz w:val="24"/>
      <w:szCs w:val="24"/>
    </w:rPr>
  </w:style>
  <w:style w:type="paragraph" w:customStyle="1" w:styleId="260">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2"/>
      <w:szCs w:val="28"/>
    </w:rPr>
  </w:style>
  <w:style w:type="paragraph" w:customStyle="1" w:styleId="261">
    <w:name w:val="目录标题"/>
    <w:basedOn w:val="1"/>
    <w:next w:val="1"/>
    <w:qFormat/>
    <w:uiPriority w:val="0"/>
    <w:pPr>
      <w:spacing w:before="215" w:after="419" w:line="436" w:lineRule="atLeast"/>
      <w:ind w:firstLine="419"/>
      <w:jc w:val="center"/>
      <w:textAlignment w:val="baseline"/>
    </w:pPr>
    <w:rPr>
      <w:rFonts w:ascii="Arial" w:eastAsia="黑体"/>
      <w:color w:val="000000"/>
      <w:spacing w:val="283"/>
      <w:sz w:val="42"/>
      <w:u w:val="none" w:color="000000"/>
    </w:rPr>
  </w:style>
  <w:style w:type="paragraph" w:customStyle="1" w:styleId="262">
    <w:name w:val="缩进正文"/>
    <w:basedOn w:val="1"/>
    <w:qFormat/>
    <w:uiPriority w:val="0"/>
    <w:pPr>
      <w:widowControl w:val="0"/>
      <w:spacing w:line="360" w:lineRule="auto"/>
      <w:ind w:firstLine="527"/>
      <w:jc w:val="both"/>
    </w:pPr>
    <w:rPr>
      <w:kern w:val="2"/>
      <w:sz w:val="24"/>
    </w:rPr>
  </w:style>
  <w:style w:type="paragraph" w:customStyle="1" w:styleId="263">
    <w:name w:val="150"/>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264">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65">
    <w:name w:val="正文+小四"/>
    <w:basedOn w:val="6"/>
    <w:qFormat/>
    <w:uiPriority w:val="0"/>
    <w:pPr>
      <w:keepNext/>
      <w:keepLines/>
      <w:tabs>
        <w:tab w:val="clear" w:pos="864"/>
      </w:tabs>
      <w:adjustRightInd/>
      <w:snapToGrid/>
      <w:spacing w:beforeLines="50" w:afterLines="50" w:line="300" w:lineRule="auto"/>
      <w:ind w:left="0" w:firstLine="0"/>
    </w:pPr>
    <w:rPr>
      <w:rFonts w:hAnsi="宋体"/>
      <w:b/>
      <w:bCs/>
      <w:color w:val="auto"/>
      <w:sz w:val="24"/>
      <w:szCs w:val="28"/>
    </w:rPr>
  </w:style>
  <w:style w:type="paragraph" w:customStyle="1" w:styleId="266">
    <w:name w:val="点序列"/>
    <w:basedOn w:val="1"/>
    <w:qFormat/>
    <w:uiPriority w:val="0"/>
    <w:pPr>
      <w:widowControl w:val="0"/>
      <w:numPr>
        <w:ilvl w:val="0"/>
        <w:numId w:val="8"/>
      </w:numPr>
      <w:adjustRightInd w:val="0"/>
      <w:spacing w:before="60" w:after="60" w:line="300" w:lineRule="auto"/>
      <w:jc w:val="both"/>
      <w:textAlignment w:val="baseline"/>
    </w:pPr>
    <w:rPr>
      <w:rFonts w:eastAsia="仿宋_GB2312"/>
      <w:sz w:val="24"/>
    </w:rPr>
  </w:style>
  <w:style w:type="paragraph" w:customStyle="1" w:styleId="267">
    <w:name w:val="表号_报告"/>
    <w:basedOn w:val="1"/>
    <w:qFormat/>
    <w:uiPriority w:val="0"/>
    <w:pPr>
      <w:widowControl w:val="0"/>
      <w:adjustRightInd w:val="0"/>
      <w:snapToGrid w:val="0"/>
    </w:pPr>
    <w:rPr>
      <w:rFonts w:ascii="仿宋_GB2312" w:eastAsia="仿宋_GB2312"/>
      <w:kern w:val="2"/>
    </w:rPr>
  </w:style>
  <w:style w:type="paragraph" w:customStyle="1" w:styleId="26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269">
    <w:name w:val="表格名称"/>
    <w:basedOn w:val="1"/>
    <w:link w:val="381"/>
    <w:qFormat/>
    <w:uiPriority w:val="0"/>
    <w:pPr>
      <w:widowControl w:val="0"/>
      <w:tabs>
        <w:tab w:val="left" w:pos="420"/>
        <w:tab w:val="left" w:pos="510"/>
      </w:tabs>
      <w:spacing w:line="360" w:lineRule="auto"/>
      <w:ind w:left="510"/>
      <w:jc w:val="center"/>
    </w:pPr>
    <w:rPr>
      <w:rFonts w:ascii="宋体" w:hAnsi="宋体"/>
      <w:b/>
      <w:kern w:val="2"/>
      <w:szCs w:val="21"/>
    </w:rPr>
  </w:style>
  <w:style w:type="character" w:customStyle="1" w:styleId="270">
    <w:name w:val="Char Char23"/>
    <w:qFormat/>
    <w:uiPriority w:val="0"/>
    <w:rPr>
      <w:rFonts w:ascii="宋体" w:hAnsi="Times New Roman" w:eastAsia="宋体" w:cs="宋体"/>
      <w:kern w:val="0"/>
      <w:sz w:val="21"/>
      <w:szCs w:val="21"/>
    </w:rPr>
  </w:style>
  <w:style w:type="character" w:customStyle="1" w:styleId="271">
    <w:name w:val="apple-style-span"/>
    <w:qFormat/>
    <w:uiPriority w:val="0"/>
    <w:rPr>
      <w:rFonts w:cs="Times New Roman"/>
    </w:rPr>
  </w:style>
  <w:style w:type="character" w:customStyle="1" w:styleId="272">
    <w:name w:val="a-list-item"/>
    <w:basedOn w:val="47"/>
    <w:qFormat/>
    <w:uiPriority w:val="0"/>
  </w:style>
  <w:style w:type="character" w:customStyle="1" w:styleId="273">
    <w:name w:val="Heading 2 Char"/>
    <w:qFormat/>
    <w:locked/>
    <w:uiPriority w:val="0"/>
    <w:rPr>
      <w:rFonts w:ascii="宋体" w:hAnsi="Arial" w:eastAsia="宋体" w:cs="宋体"/>
      <w:sz w:val="32"/>
      <w:lang w:val="en-US" w:eastAsia="zh-CN" w:bidi="ar-SA"/>
    </w:rPr>
  </w:style>
  <w:style w:type="character" w:customStyle="1" w:styleId="274">
    <w:name w:val="wf1"/>
    <w:qFormat/>
    <w:uiPriority w:val="0"/>
    <w:rPr>
      <w:rFonts w:ascii="宋体" w:hAnsi="宋体" w:eastAsia="宋体"/>
      <w:sz w:val="24"/>
    </w:rPr>
  </w:style>
  <w:style w:type="character" w:customStyle="1" w:styleId="275">
    <w:name w:val="标题 Char Char"/>
    <w:qFormat/>
    <w:uiPriority w:val="0"/>
    <w:rPr>
      <w:rFonts w:ascii="Arial" w:hAnsi="Arial" w:eastAsia="宋体"/>
      <w:b/>
      <w:kern w:val="2"/>
      <w:sz w:val="36"/>
      <w:szCs w:val="24"/>
      <w:lang w:val="en-US" w:eastAsia="zh-CN" w:bidi="ar-SA"/>
    </w:rPr>
  </w:style>
  <w:style w:type="character" w:customStyle="1" w:styleId="276">
    <w:name w:val="普通文字 Char Char"/>
    <w:qFormat/>
    <w:uiPriority w:val="0"/>
    <w:rPr>
      <w:rFonts w:ascii="宋体" w:hAnsi="Courier New" w:eastAsia="宋体"/>
      <w:kern w:val="2"/>
      <w:sz w:val="21"/>
      <w:lang w:val="en-US" w:eastAsia="zh-CN" w:bidi="ar-SA"/>
    </w:rPr>
  </w:style>
  <w:style w:type="character" w:customStyle="1" w:styleId="277">
    <w:name w:val="Plain Text Char"/>
    <w:qFormat/>
    <w:uiPriority w:val="0"/>
    <w:rPr>
      <w:rFonts w:ascii="宋体" w:hAnsi="Courier New" w:eastAsia="宋体"/>
      <w:kern w:val="2"/>
      <w:sz w:val="21"/>
      <w:lang w:val="en-US" w:eastAsia="zh-CN"/>
    </w:rPr>
  </w:style>
  <w:style w:type="character" w:customStyle="1" w:styleId="278">
    <w:name w:val="List Paragraph Char"/>
    <w:link w:val="140"/>
    <w:qFormat/>
    <w:locked/>
    <w:uiPriority w:val="0"/>
    <w:rPr>
      <w:rFonts w:ascii="Calibri" w:hAnsi="Calibri" w:eastAsia="宋体"/>
      <w:kern w:val="2"/>
      <w:sz w:val="21"/>
      <w:szCs w:val="22"/>
      <w:lang w:val="en-US" w:eastAsia="zh-CN" w:bidi="ar-SA"/>
    </w:rPr>
  </w:style>
  <w:style w:type="character" w:customStyle="1" w:styleId="279">
    <w:name w:val="Char Char111"/>
    <w:qFormat/>
    <w:uiPriority w:val="0"/>
    <w:rPr>
      <w:kern w:val="2"/>
      <w:sz w:val="18"/>
    </w:rPr>
  </w:style>
  <w:style w:type="character" w:customStyle="1" w:styleId="280">
    <w:name w:val="纯文本 Char1"/>
    <w:link w:val="25"/>
    <w:qFormat/>
    <w:uiPriority w:val="0"/>
    <w:rPr>
      <w:rFonts w:ascii="宋体" w:hAnsi="Courier New" w:eastAsia="宋体"/>
      <w:kern w:val="2"/>
      <w:sz w:val="21"/>
      <w:lang w:val="en-US" w:eastAsia="zh-CN" w:bidi="ar-SA"/>
    </w:rPr>
  </w:style>
  <w:style w:type="character" w:customStyle="1" w:styleId="281">
    <w:name w:val="标题 Char"/>
    <w:qFormat/>
    <w:uiPriority w:val="0"/>
    <w:rPr>
      <w:rFonts w:ascii="Arial" w:hAnsi="Arial" w:eastAsia="宋体"/>
      <w:b/>
      <w:kern w:val="2"/>
      <w:sz w:val="36"/>
      <w:szCs w:val="24"/>
      <w:lang w:val="en-US" w:eastAsia="zh-CN" w:bidi="ar-SA"/>
    </w:rPr>
  </w:style>
  <w:style w:type="character" w:customStyle="1" w:styleId="282">
    <w:name w:val="font41"/>
    <w:qFormat/>
    <w:uiPriority w:val="0"/>
    <w:rPr>
      <w:rFonts w:ascii="Arial" w:hAnsi="Arial" w:cs="Arial"/>
      <w:color w:val="000000"/>
      <w:sz w:val="18"/>
      <w:szCs w:val="18"/>
      <w:u w:val="none"/>
    </w:rPr>
  </w:style>
  <w:style w:type="character" w:customStyle="1" w:styleId="283">
    <w:name w:val="Char Char7"/>
    <w:qFormat/>
    <w:uiPriority w:val="0"/>
    <w:rPr>
      <w:rFonts w:eastAsia="宋体"/>
      <w:sz w:val="18"/>
      <w:lang w:val="en-US" w:eastAsia="zh-CN" w:bidi="ar-SA"/>
    </w:rPr>
  </w:style>
  <w:style w:type="character" w:customStyle="1" w:styleId="284">
    <w:name w:val="正文文本 字符"/>
    <w:qFormat/>
    <w:locked/>
    <w:uiPriority w:val="0"/>
    <w:rPr>
      <w:rFonts w:eastAsia="宋体"/>
      <w:kern w:val="2"/>
      <w:sz w:val="28"/>
      <w:lang w:val="en-US" w:eastAsia="zh-CN" w:bidi="ar-SA"/>
    </w:rPr>
  </w:style>
  <w:style w:type="character" w:customStyle="1" w:styleId="285">
    <w:name w:val="真正正文+首缩2 Char"/>
    <w:link w:val="232"/>
    <w:qFormat/>
    <w:uiPriority w:val="0"/>
    <w:rPr>
      <w:rFonts w:eastAsia="仿宋_GB2312"/>
      <w:kern w:val="2"/>
      <w:sz w:val="28"/>
      <w:szCs w:val="28"/>
      <w:lang w:val="en-US" w:eastAsia="zh-CN" w:bidi="ar-SA"/>
    </w:rPr>
  </w:style>
  <w:style w:type="character" w:customStyle="1" w:styleId="286">
    <w:name w:val="正文首行缩进 2 Char"/>
    <w:link w:val="31"/>
    <w:qFormat/>
    <w:locked/>
    <w:uiPriority w:val="0"/>
    <w:rPr>
      <w:rFonts w:ascii="宋体" w:eastAsia="宋体"/>
      <w:kern w:val="2"/>
      <w:sz w:val="21"/>
      <w:lang w:val="en-US" w:eastAsia="zh-CN" w:bidi="ar-SA"/>
    </w:rPr>
  </w:style>
  <w:style w:type="character" w:customStyle="1" w:styleId="287">
    <w:name w:val="Normal Indent Char1"/>
    <w:qFormat/>
    <w:locked/>
    <w:uiPriority w:val="0"/>
    <w:rPr>
      <w:rFonts w:eastAsia="宋体"/>
      <w:lang w:val="en-US" w:eastAsia="zh-CN" w:bidi="ar-SA"/>
    </w:rPr>
  </w:style>
  <w:style w:type="character" w:customStyle="1" w:styleId="288">
    <w:name w:val="Char Char71"/>
    <w:qFormat/>
    <w:uiPriority w:val="0"/>
    <w:rPr>
      <w:rFonts w:ascii="宋体" w:hAnsi="Courier New" w:eastAsia="宋体" w:cs="Times New Roman"/>
      <w:sz w:val="21"/>
      <w:szCs w:val="21"/>
    </w:rPr>
  </w:style>
  <w:style w:type="character" w:customStyle="1" w:styleId="289">
    <w:name w:val="日期 Char"/>
    <w:link w:val="27"/>
    <w:qFormat/>
    <w:locked/>
    <w:uiPriority w:val="0"/>
    <w:rPr>
      <w:rFonts w:ascii="楷体_GB2312" w:eastAsia="楷体_GB2312"/>
      <w:kern w:val="2"/>
      <w:sz w:val="28"/>
      <w:lang w:val="en-US" w:eastAsia="zh-CN" w:bidi="ar-SA"/>
    </w:rPr>
  </w:style>
  <w:style w:type="character" w:customStyle="1" w:styleId="290">
    <w:name w:val="标题 8 Char"/>
    <w:link w:val="11"/>
    <w:qFormat/>
    <w:locked/>
    <w:uiPriority w:val="0"/>
    <w:rPr>
      <w:rFonts w:ascii="Arial" w:hAnsi="Arial" w:eastAsia="黑体"/>
      <w:snapToGrid w:val="0"/>
      <w:color w:val="000000"/>
      <w:sz w:val="24"/>
      <w:lang w:val="en-US" w:eastAsia="zh-CN" w:bidi="ar-SA"/>
    </w:rPr>
  </w:style>
  <w:style w:type="character" w:customStyle="1" w:styleId="291">
    <w:name w:val="Normal Indent Char"/>
    <w:qFormat/>
    <w:uiPriority w:val="0"/>
    <w:rPr>
      <w:rFonts w:ascii="宋体" w:hAnsi="宋体" w:eastAsia="宋体"/>
      <w:sz w:val="21"/>
      <w:lang w:val="en-US" w:eastAsia="zh-CN"/>
    </w:rPr>
  </w:style>
  <w:style w:type="character" w:customStyle="1" w:styleId="292">
    <w:name w:val="span_paramvalue"/>
    <w:basedOn w:val="47"/>
    <w:qFormat/>
    <w:uiPriority w:val="0"/>
  </w:style>
  <w:style w:type="character" w:customStyle="1" w:styleId="293">
    <w:name w:val="Char Char22"/>
    <w:qFormat/>
    <w:uiPriority w:val="0"/>
    <w:rPr>
      <w:rFonts w:ascii="Arial" w:hAnsi="Arial" w:eastAsia="黑体" w:cs="Arial"/>
      <w:b/>
      <w:bCs/>
      <w:kern w:val="0"/>
      <w:sz w:val="28"/>
      <w:szCs w:val="28"/>
    </w:rPr>
  </w:style>
  <w:style w:type="character" w:customStyle="1" w:styleId="294">
    <w:name w:val="Char Char16"/>
    <w:qFormat/>
    <w:uiPriority w:val="0"/>
    <w:rPr>
      <w:rFonts w:ascii="宋体" w:eastAsia="宋体"/>
    </w:rPr>
  </w:style>
  <w:style w:type="character" w:customStyle="1" w:styleId="295">
    <w:name w:val="标题 5 Char"/>
    <w:link w:val="8"/>
    <w:qFormat/>
    <w:locked/>
    <w:uiPriority w:val="0"/>
    <w:rPr>
      <w:rFonts w:ascii="宋体" w:eastAsia="宋体"/>
      <w:b/>
      <w:snapToGrid w:val="0"/>
      <w:color w:val="000000"/>
      <w:sz w:val="28"/>
      <w:lang w:val="en-US" w:eastAsia="zh-CN" w:bidi="ar-SA"/>
    </w:rPr>
  </w:style>
  <w:style w:type="character" w:customStyle="1" w:styleId="296">
    <w:name w:val="正文文本缩进 3 Char1"/>
    <w:qFormat/>
    <w:locked/>
    <w:uiPriority w:val="0"/>
    <w:rPr>
      <w:rFonts w:ascii="Times New Roman" w:hAnsi="Times New Roman" w:eastAsia="宋体" w:cs="Times New Roman"/>
      <w:kern w:val="0"/>
      <w:sz w:val="16"/>
      <w:szCs w:val="16"/>
    </w:rPr>
  </w:style>
  <w:style w:type="character" w:customStyle="1" w:styleId="297">
    <w:name w:val="标题 6 Char"/>
    <w:link w:val="9"/>
    <w:qFormat/>
    <w:locked/>
    <w:uiPriority w:val="0"/>
    <w:rPr>
      <w:rFonts w:ascii="Arial" w:hAnsi="Arial" w:eastAsia="黑体"/>
      <w:b/>
      <w:snapToGrid w:val="0"/>
      <w:color w:val="000000"/>
      <w:sz w:val="24"/>
      <w:lang w:val="en-US" w:eastAsia="zh-CN" w:bidi="ar-SA"/>
    </w:rPr>
  </w:style>
  <w:style w:type="character" w:customStyle="1" w:styleId="298">
    <w:name w:val="Footer Char1"/>
    <w:qFormat/>
    <w:locked/>
    <w:uiPriority w:val="0"/>
    <w:rPr>
      <w:rFonts w:ascii="Calibri" w:hAnsi="Calibri" w:eastAsia="宋体" w:cs="黑体"/>
      <w:kern w:val="2"/>
      <w:sz w:val="18"/>
      <w:szCs w:val="22"/>
      <w:lang w:val="en-US" w:eastAsia="zh-CN" w:bidi="ar-SA"/>
    </w:rPr>
  </w:style>
  <w:style w:type="character" w:customStyle="1" w:styleId="299">
    <w:name w:val="正文缩进 Char"/>
    <w:qFormat/>
    <w:uiPriority w:val="0"/>
    <w:rPr>
      <w:rFonts w:eastAsia="宋体"/>
      <w:sz w:val="21"/>
      <w:lang w:val="en-US" w:eastAsia="zh-CN"/>
    </w:rPr>
  </w:style>
  <w:style w:type="character" w:customStyle="1" w:styleId="300">
    <w:name w:val="Plain Text Char1"/>
    <w:qFormat/>
    <w:uiPriority w:val="0"/>
    <w:rPr>
      <w:rFonts w:ascii="宋体" w:hAnsi="Courier New" w:eastAsia="宋体"/>
      <w:b/>
      <w:i/>
      <w:color w:val="000000"/>
      <w:sz w:val="21"/>
      <w:lang w:val="en-US" w:eastAsia="zh-CN"/>
    </w:rPr>
  </w:style>
  <w:style w:type="character" w:customStyle="1" w:styleId="301">
    <w:name w:val="正文加粗 Char Char"/>
    <w:link w:val="174"/>
    <w:qFormat/>
    <w:locked/>
    <w:uiPriority w:val="0"/>
    <w:rPr>
      <w:rFonts w:ascii="Arial" w:hAnsi="Arial" w:eastAsia="宋体" w:cs="宋体"/>
      <w:b/>
      <w:bCs/>
      <w:kern w:val="2"/>
      <w:sz w:val="24"/>
      <w:szCs w:val="22"/>
      <w:lang w:val="en-US" w:eastAsia="en-US" w:bidi="ar-SA"/>
    </w:rPr>
  </w:style>
  <w:style w:type="character" w:customStyle="1" w:styleId="302">
    <w:name w:val="标题 9 Char"/>
    <w:link w:val="12"/>
    <w:qFormat/>
    <w:locked/>
    <w:uiPriority w:val="0"/>
    <w:rPr>
      <w:rFonts w:ascii="Arial" w:hAnsi="Arial" w:eastAsia="黑体"/>
      <w:snapToGrid w:val="0"/>
      <w:color w:val="000000"/>
      <w:sz w:val="21"/>
      <w:lang w:val="en-US" w:eastAsia="zh-CN" w:bidi="ar-SA"/>
    </w:rPr>
  </w:style>
  <w:style w:type="character" w:customStyle="1" w:styleId="303">
    <w:name w:val="font31"/>
    <w:qFormat/>
    <w:uiPriority w:val="0"/>
    <w:rPr>
      <w:rFonts w:ascii="宋体" w:hAnsi="宋体" w:eastAsia="宋体" w:cs="宋体"/>
      <w:color w:val="000000"/>
      <w:sz w:val="18"/>
      <w:szCs w:val="18"/>
      <w:u w:val="none"/>
    </w:rPr>
  </w:style>
  <w:style w:type="character" w:customStyle="1" w:styleId="304">
    <w:name w:val="h Char2"/>
    <w:qFormat/>
    <w:uiPriority w:val="0"/>
    <w:rPr>
      <w:rFonts w:eastAsia="宋体"/>
      <w:sz w:val="18"/>
      <w:szCs w:val="18"/>
      <w:lang w:val="en-US" w:eastAsia="zh-CN" w:bidi="ar-SA"/>
    </w:rPr>
  </w:style>
  <w:style w:type="character" w:customStyle="1" w:styleId="305">
    <w:name w:val="链接"/>
    <w:qFormat/>
    <w:uiPriority w:val="0"/>
    <w:rPr>
      <w:rFonts w:ascii="Times New Roman" w:eastAsia="宋体" w:cs="Times New Roman"/>
      <w:color w:val="0000FF"/>
      <w:sz w:val="21"/>
      <w:u w:val="single" w:color="0000FF"/>
      <w:lang w:val="en-US" w:eastAsia="zh-CN"/>
    </w:rPr>
  </w:style>
  <w:style w:type="character" w:customStyle="1" w:styleId="306">
    <w:name w:val="正文缩进 Char1"/>
    <w:link w:val="7"/>
    <w:qFormat/>
    <w:locked/>
    <w:uiPriority w:val="0"/>
    <w:rPr>
      <w:rFonts w:eastAsia="宋体"/>
      <w:sz w:val="21"/>
      <w:lang w:val="en-US" w:eastAsia="zh-CN" w:bidi="ar-SA"/>
    </w:rPr>
  </w:style>
  <w:style w:type="character" w:customStyle="1" w:styleId="307">
    <w:name w:val="正文文本缩进 Char1"/>
    <w:qFormat/>
    <w:locked/>
    <w:uiPriority w:val="0"/>
    <w:rPr>
      <w:rFonts w:ascii="Times New Roman" w:hAnsi="Times New Roman" w:eastAsia="宋体" w:cs="Times New Roman"/>
      <w:kern w:val="0"/>
      <w:sz w:val="20"/>
      <w:szCs w:val="20"/>
    </w:rPr>
  </w:style>
  <w:style w:type="character" w:customStyle="1" w:styleId="308">
    <w:name w:val="批注主题 Char"/>
    <w:link w:val="13"/>
    <w:qFormat/>
    <w:locked/>
    <w:uiPriority w:val="0"/>
    <w:rPr>
      <w:rFonts w:ascii="Times New Roman" w:hAnsi="Times New Roman" w:eastAsia="宋体" w:cs="Times New Roman"/>
      <w:b/>
      <w:bCs/>
      <w:sz w:val="21"/>
      <w:szCs w:val="21"/>
      <w:lang w:val="en-US" w:eastAsia="zh-CN" w:bidi="ar-SA"/>
    </w:rPr>
  </w:style>
  <w:style w:type="character" w:customStyle="1" w:styleId="309">
    <w:name w:val="页眉 字符"/>
    <w:qFormat/>
    <w:uiPriority w:val="0"/>
    <w:rPr>
      <w:rFonts w:eastAsia="宋体"/>
      <w:sz w:val="18"/>
      <w:lang w:val="en-US" w:eastAsia="zh-CN" w:bidi="ar-SA"/>
    </w:rPr>
  </w:style>
  <w:style w:type="character" w:customStyle="1" w:styleId="310">
    <w:name w:val="批注文字 Char"/>
    <w:link w:val="14"/>
    <w:qFormat/>
    <w:locked/>
    <w:uiPriority w:val="0"/>
    <w:rPr>
      <w:rFonts w:eastAsia="宋体"/>
      <w:kern w:val="2"/>
      <w:sz w:val="21"/>
      <w:szCs w:val="24"/>
      <w:lang w:val="en-US" w:eastAsia="zh-CN" w:bidi="ar-SA"/>
    </w:rPr>
  </w:style>
  <w:style w:type="character" w:customStyle="1" w:styleId="311">
    <w:name w:val="标题 3 Char"/>
    <w:qFormat/>
    <w:locked/>
    <w:uiPriority w:val="0"/>
    <w:rPr>
      <w:rFonts w:ascii="Times New Roman" w:hAnsi="Times New Roman" w:eastAsia="宋体" w:cs="Times New Roman"/>
      <w:b/>
      <w:bCs/>
      <w:kern w:val="0"/>
      <w:sz w:val="32"/>
      <w:szCs w:val="32"/>
    </w:rPr>
  </w:style>
  <w:style w:type="character" w:customStyle="1" w:styleId="312">
    <w:name w:val="txt11"/>
    <w:qFormat/>
    <w:uiPriority w:val="0"/>
    <w:rPr>
      <w:rFonts w:hint="default" w:ascii="Arial" w:hAnsi="Arial" w:cs="Arial"/>
      <w:color w:val="000000"/>
      <w:sz w:val="18"/>
      <w:szCs w:val="18"/>
    </w:rPr>
  </w:style>
  <w:style w:type="character" w:customStyle="1" w:styleId="313">
    <w:name w:val="59"/>
    <w:qFormat/>
    <w:uiPriority w:val="0"/>
    <w:rPr>
      <w:rFonts w:eastAsia="宋体" w:cs="Times New Roman"/>
      <w:kern w:val="2"/>
      <w:sz w:val="24"/>
      <w:szCs w:val="24"/>
      <w:lang w:val="en-US" w:eastAsia="zh-CN" w:bidi="ar-SA"/>
    </w:rPr>
  </w:style>
  <w:style w:type="character" w:customStyle="1" w:styleId="314">
    <w:name w:val="日期 Char1"/>
    <w:qFormat/>
    <w:locked/>
    <w:uiPriority w:val="0"/>
    <w:rPr>
      <w:rFonts w:ascii="Times New Roman" w:hAnsi="Times New Roman" w:eastAsia="宋体" w:cs="Times New Roman"/>
      <w:kern w:val="0"/>
      <w:sz w:val="20"/>
      <w:szCs w:val="20"/>
    </w:rPr>
  </w:style>
  <w:style w:type="character" w:customStyle="1" w:styleId="315">
    <w:name w:val="表正文 Char"/>
    <w:qFormat/>
    <w:uiPriority w:val="0"/>
    <w:rPr>
      <w:rFonts w:eastAsia="宋体"/>
      <w:kern w:val="2"/>
      <w:sz w:val="21"/>
      <w:szCs w:val="24"/>
      <w:lang w:val="en-US" w:eastAsia="zh-CN" w:bidi="ar-SA"/>
    </w:rPr>
  </w:style>
  <w:style w:type="character" w:customStyle="1" w:styleId="316">
    <w:name w:val="Heading 3 Char"/>
    <w:qFormat/>
    <w:uiPriority w:val="0"/>
    <w:rPr>
      <w:rFonts w:ascii="宋体" w:hAnsi="Times New Roman" w:eastAsia="宋体" w:cs="宋体"/>
      <w:kern w:val="0"/>
      <w:sz w:val="20"/>
      <w:szCs w:val="20"/>
    </w:rPr>
  </w:style>
  <w:style w:type="character" w:customStyle="1" w:styleId="317">
    <w:name w:val="文档结构图 Char"/>
    <w:link w:val="18"/>
    <w:qFormat/>
    <w:uiPriority w:val="0"/>
    <w:rPr>
      <w:rFonts w:eastAsia="宋体"/>
      <w:sz w:val="21"/>
      <w:lang w:val="en-US" w:eastAsia="zh-CN" w:bidi="ar-SA"/>
    </w:rPr>
  </w:style>
  <w:style w:type="character" w:customStyle="1" w:styleId="318">
    <w:name w:val="标题 2 Char"/>
    <w:qFormat/>
    <w:locked/>
    <w:uiPriority w:val="0"/>
    <w:rPr>
      <w:rFonts w:ascii="Cambria" w:hAnsi="Cambria" w:eastAsia="宋体" w:cs="黑体"/>
      <w:b/>
      <w:bCs/>
      <w:kern w:val="0"/>
      <w:sz w:val="32"/>
      <w:szCs w:val="32"/>
    </w:rPr>
  </w:style>
  <w:style w:type="character" w:customStyle="1" w:styleId="319">
    <w:name w:val="zhi101"/>
    <w:qFormat/>
    <w:uiPriority w:val="0"/>
    <w:rPr>
      <w:rFonts w:hint="eastAsia" w:ascii="宋体" w:hAnsi="宋体" w:eastAsia="宋体"/>
      <w:color w:val="0000FF"/>
      <w:sz w:val="20"/>
      <w:szCs w:val="20"/>
    </w:rPr>
  </w:style>
  <w:style w:type="character" w:customStyle="1" w:styleId="320">
    <w:name w:val="文字 Char"/>
    <w:link w:val="224"/>
    <w:qFormat/>
    <w:uiPriority w:val="0"/>
    <w:rPr>
      <w:rFonts w:ascii="宋体" w:eastAsia="宋体"/>
      <w:kern w:val="2"/>
      <w:sz w:val="28"/>
      <w:lang w:val="en-US" w:eastAsia="zh-CN" w:bidi="ar-SA"/>
    </w:rPr>
  </w:style>
  <w:style w:type="character" w:customStyle="1" w:styleId="321">
    <w:name w:val="页眉 Char1"/>
    <w:link w:val="32"/>
    <w:qFormat/>
    <w:uiPriority w:val="0"/>
    <w:rPr>
      <w:rFonts w:eastAsia="宋体"/>
      <w:sz w:val="18"/>
      <w:lang w:val="en-US" w:eastAsia="zh-CN" w:bidi="ar-SA"/>
    </w:rPr>
  </w:style>
  <w:style w:type="character" w:customStyle="1" w:styleId="322">
    <w:name w:val="正文内容 Char"/>
    <w:link w:val="229"/>
    <w:qFormat/>
    <w:locked/>
    <w:uiPriority w:val="0"/>
    <w:rPr>
      <w:rFonts w:ascii="Arial" w:hAnsi="Arial" w:eastAsia="宋体"/>
      <w:spacing w:val="-12"/>
      <w:kern w:val="2"/>
      <w:sz w:val="21"/>
      <w:lang w:val="en-US" w:eastAsia="zh-CN" w:bidi="ar-SA"/>
    </w:rPr>
  </w:style>
  <w:style w:type="character" w:customStyle="1" w:styleId="323">
    <w:name w:val="正文文本 2 Char"/>
    <w:link w:val="43"/>
    <w:qFormat/>
    <w:locked/>
    <w:uiPriority w:val="0"/>
    <w:rPr>
      <w:rFonts w:ascii="宋体" w:hAnsi="宋体" w:eastAsia="宋体"/>
      <w:color w:val="000000"/>
      <w:sz w:val="24"/>
      <w:lang w:val="en-US" w:eastAsia="zh-CN" w:bidi="ar-SA"/>
    </w:rPr>
  </w:style>
  <w:style w:type="character" w:customStyle="1" w:styleId="324">
    <w:name w:val="正文首行缩进 Char"/>
    <w:link w:val="16"/>
    <w:qFormat/>
    <w:locked/>
    <w:uiPriority w:val="0"/>
    <w:rPr>
      <w:rFonts w:eastAsia="宋体"/>
      <w:kern w:val="2"/>
      <w:sz w:val="21"/>
      <w:szCs w:val="24"/>
      <w:lang w:val="en-US" w:eastAsia="zh-CN" w:bidi="ar-SA"/>
    </w:rPr>
  </w:style>
  <w:style w:type="character" w:customStyle="1" w:styleId="325">
    <w:name w:val="Char Char4"/>
    <w:qFormat/>
    <w:uiPriority w:val="0"/>
    <w:rPr>
      <w:rFonts w:eastAsia="宋体"/>
      <w:szCs w:val="24"/>
      <w:lang w:bidi="ar-SA"/>
    </w:rPr>
  </w:style>
  <w:style w:type="character" w:customStyle="1" w:styleId="326">
    <w:name w:val="Char Char14"/>
    <w:qFormat/>
    <w:uiPriority w:val="0"/>
    <w:rPr>
      <w:rFonts w:ascii="Times New Roman" w:hAnsi="Times New Roman" w:eastAsia="宋体" w:cs="Times New Roman"/>
      <w:sz w:val="21"/>
      <w:szCs w:val="21"/>
    </w:rPr>
  </w:style>
  <w:style w:type="character" w:customStyle="1" w:styleId="327">
    <w:name w:val="Document Map Char"/>
    <w:qFormat/>
    <w:locked/>
    <w:uiPriority w:val="0"/>
    <w:rPr>
      <w:rFonts w:ascii="Calibri" w:hAnsi="Calibri" w:eastAsia="宋体" w:cs="黑体"/>
      <w:kern w:val="2"/>
      <w:sz w:val="21"/>
      <w:szCs w:val="22"/>
      <w:lang w:val="en-US" w:eastAsia="zh-CN" w:bidi="ar-SA"/>
    </w:rPr>
  </w:style>
  <w:style w:type="character" w:customStyle="1" w:styleId="328">
    <w:name w:val="正文文本缩进 Char"/>
    <w:link w:val="21"/>
    <w:qFormat/>
    <w:locked/>
    <w:uiPriority w:val="0"/>
    <w:rPr>
      <w:rFonts w:ascii="宋体" w:eastAsia="宋体"/>
      <w:kern w:val="2"/>
      <w:sz w:val="24"/>
      <w:lang w:val="en-US" w:eastAsia="zh-CN" w:bidi="ar-SA"/>
    </w:rPr>
  </w:style>
  <w:style w:type="character" w:customStyle="1" w:styleId="329">
    <w:name w:val="Plain Text Char2"/>
    <w:qFormat/>
    <w:locked/>
    <w:uiPriority w:val="0"/>
    <w:rPr>
      <w:rFonts w:ascii="宋体" w:hAnsi="Courier New" w:eastAsia="宋体" w:cs="Courier New"/>
      <w:kern w:val="2"/>
      <w:sz w:val="21"/>
      <w:szCs w:val="21"/>
      <w:lang w:val="en-US" w:eastAsia="zh-CN" w:bidi="ar-SA"/>
    </w:rPr>
  </w:style>
  <w:style w:type="character" w:customStyle="1" w:styleId="330">
    <w:name w:val="页脚 Char"/>
    <w:qFormat/>
    <w:locked/>
    <w:uiPriority w:val="99"/>
    <w:rPr>
      <w:rFonts w:ascii="Times New Roman" w:hAnsi="Times New Roman" w:eastAsia="宋体" w:cs="Times New Roman"/>
      <w:kern w:val="0"/>
      <w:sz w:val="18"/>
      <w:szCs w:val="18"/>
    </w:rPr>
  </w:style>
  <w:style w:type="character" w:customStyle="1" w:styleId="331">
    <w:name w:val="style51"/>
    <w:qFormat/>
    <w:uiPriority w:val="0"/>
    <w:rPr>
      <w:color w:val="000000"/>
      <w:sz w:val="18"/>
    </w:rPr>
  </w:style>
  <w:style w:type="character" w:customStyle="1" w:styleId="332">
    <w:name w:val="huei12b1"/>
    <w:qFormat/>
    <w:uiPriority w:val="0"/>
    <w:rPr>
      <w:b/>
      <w:bCs/>
      <w:color w:val="333333"/>
      <w:sz w:val="18"/>
      <w:szCs w:val="18"/>
    </w:rPr>
  </w:style>
  <w:style w:type="character" w:customStyle="1" w:styleId="333">
    <w:name w:val="正文首行缩进 2 Char1"/>
    <w:basedOn w:val="307"/>
    <w:qFormat/>
    <w:locked/>
    <w:uiPriority w:val="0"/>
    <w:rPr>
      <w:rFonts w:ascii="Times New Roman" w:hAnsi="Times New Roman" w:eastAsia="宋体" w:cs="Times New Roman"/>
      <w:kern w:val="0"/>
      <w:sz w:val="20"/>
      <w:szCs w:val="20"/>
    </w:rPr>
  </w:style>
  <w:style w:type="character" w:customStyle="1" w:styleId="334">
    <w:name w:val="HTML 预设格式 Char"/>
    <w:link w:val="44"/>
    <w:qFormat/>
    <w:locked/>
    <w:uiPriority w:val="0"/>
    <w:rPr>
      <w:rFonts w:ascii="黑体" w:hAnsi="Courier New" w:eastAsia="黑体" w:cs="Courier New"/>
      <w:szCs w:val="21"/>
      <w:lang w:val="en-US" w:eastAsia="zh-CN" w:bidi="ar-SA"/>
    </w:rPr>
  </w:style>
  <w:style w:type="character" w:customStyle="1" w:styleId="335">
    <w:name w:val="正文缩进1 Char"/>
    <w:qFormat/>
    <w:uiPriority w:val="0"/>
    <w:rPr>
      <w:rFonts w:ascii="Times New Roman" w:hAnsi="Times New Roman" w:eastAsia="宋体" w:cs="Times New Roman"/>
      <w:szCs w:val="24"/>
    </w:rPr>
  </w:style>
  <w:style w:type="character" w:customStyle="1" w:styleId="336">
    <w:name w:val="批注框文本 Char"/>
    <w:qFormat/>
    <w:locked/>
    <w:uiPriority w:val="0"/>
    <w:rPr>
      <w:rFonts w:ascii="Times New Roman" w:hAnsi="Times New Roman" w:eastAsia="宋体" w:cs="Times New Roman"/>
      <w:kern w:val="0"/>
      <w:sz w:val="18"/>
      <w:szCs w:val="18"/>
    </w:rPr>
  </w:style>
  <w:style w:type="character" w:customStyle="1" w:styleId="337">
    <w:name w:val="批注主题 Char1"/>
    <w:qFormat/>
    <w:locked/>
    <w:uiPriority w:val="0"/>
    <w:rPr>
      <w:rFonts w:eastAsia="宋体"/>
      <w:b/>
      <w:bCs/>
      <w:kern w:val="2"/>
      <w:sz w:val="21"/>
      <w:szCs w:val="24"/>
      <w:lang w:val="en-US" w:eastAsia="zh-CN" w:bidi="ar-SA"/>
    </w:rPr>
  </w:style>
  <w:style w:type="character" w:customStyle="1" w:styleId="338">
    <w:name w:val="Header Char"/>
    <w:qFormat/>
    <w:locked/>
    <w:uiPriority w:val="0"/>
    <w:rPr>
      <w:rFonts w:ascii="Calibri" w:hAnsi="Calibri" w:eastAsia="宋体" w:cs="黑体"/>
      <w:kern w:val="2"/>
      <w:sz w:val="18"/>
      <w:szCs w:val="22"/>
      <w:lang w:val="en-US" w:eastAsia="zh-CN" w:bidi="ar-SA"/>
    </w:rPr>
  </w:style>
  <w:style w:type="character" w:customStyle="1" w:styleId="339">
    <w:name w:val="表格正文 Char"/>
    <w:link w:val="95"/>
    <w:qFormat/>
    <w:uiPriority w:val="0"/>
    <w:rPr>
      <w:rFonts w:eastAsia="宋体"/>
      <w:sz w:val="24"/>
      <w:lang w:val="en-US" w:eastAsia="zh-CN" w:bidi="ar-SA"/>
    </w:rPr>
  </w:style>
  <w:style w:type="character" w:customStyle="1" w:styleId="340">
    <w:name w:val="标题 3 Char1"/>
    <w:link w:val="5"/>
    <w:qFormat/>
    <w:uiPriority w:val="0"/>
    <w:rPr>
      <w:rFonts w:ascii="宋体" w:eastAsia="宋体"/>
      <w:snapToGrid w:val="0"/>
      <w:sz w:val="21"/>
      <w:lang w:val="en-US" w:eastAsia="zh-CN" w:bidi="ar-SA"/>
    </w:rPr>
  </w:style>
  <w:style w:type="character" w:customStyle="1" w:styleId="341">
    <w:name w:val="批注框文本 Char1"/>
    <w:link w:val="29"/>
    <w:qFormat/>
    <w:locked/>
    <w:uiPriority w:val="0"/>
    <w:rPr>
      <w:rFonts w:eastAsia="宋体"/>
      <w:kern w:val="2"/>
      <w:sz w:val="18"/>
      <w:szCs w:val="18"/>
      <w:lang w:val="en-US" w:eastAsia="zh-CN" w:bidi="ar-SA"/>
    </w:rPr>
  </w:style>
  <w:style w:type="character" w:customStyle="1" w:styleId="342">
    <w:name w:val="Heading 1 Char1"/>
    <w:qFormat/>
    <w:locked/>
    <w:uiPriority w:val="0"/>
    <w:rPr>
      <w:rFonts w:eastAsia="宋体"/>
      <w:b/>
      <w:bCs/>
      <w:kern w:val="44"/>
      <w:sz w:val="44"/>
      <w:szCs w:val="44"/>
      <w:lang w:val="en-US" w:eastAsia="zh-CN" w:bidi="ar-SA"/>
    </w:rPr>
  </w:style>
  <w:style w:type="character" w:customStyle="1" w:styleId="343">
    <w:name w:val="cp"/>
    <w:basedOn w:val="47"/>
    <w:qFormat/>
    <w:uiPriority w:val="0"/>
  </w:style>
  <w:style w:type="character" w:customStyle="1" w:styleId="344">
    <w:name w:val="日期 字符"/>
    <w:qFormat/>
    <w:locked/>
    <w:uiPriority w:val="0"/>
    <w:rPr>
      <w:rFonts w:ascii="楷体_GB2312" w:eastAsia="楷体_GB2312"/>
      <w:kern w:val="2"/>
      <w:sz w:val="28"/>
      <w:lang w:val="en-US" w:eastAsia="zh-CN" w:bidi="ar-SA"/>
    </w:rPr>
  </w:style>
  <w:style w:type="character" w:customStyle="1" w:styleId="345">
    <w:name w:val="标题 4 Char"/>
    <w:qFormat/>
    <w:locked/>
    <w:uiPriority w:val="0"/>
    <w:rPr>
      <w:rFonts w:ascii="Cambria" w:hAnsi="Cambria" w:eastAsia="宋体" w:cs="黑体"/>
      <w:b/>
      <w:bCs/>
      <w:kern w:val="0"/>
      <w:sz w:val="28"/>
      <w:szCs w:val="28"/>
    </w:rPr>
  </w:style>
  <w:style w:type="character" w:customStyle="1" w:styleId="346">
    <w:name w:val="正文文本缩进 2 Char"/>
    <w:link w:val="28"/>
    <w:qFormat/>
    <w:locked/>
    <w:uiPriority w:val="0"/>
    <w:rPr>
      <w:rFonts w:eastAsia="宋体"/>
      <w:kern w:val="2"/>
      <w:sz w:val="21"/>
      <w:lang w:val="en-US" w:eastAsia="zh-CN" w:bidi="ar-SA"/>
    </w:rPr>
  </w:style>
  <w:style w:type="character" w:customStyle="1" w:styleId="347">
    <w:name w:val="页脚 Char1"/>
    <w:link w:val="30"/>
    <w:semiHidden/>
    <w:qFormat/>
    <w:uiPriority w:val="0"/>
    <w:rPr>
      <w:rFonts w:eastAsia="宋体"/>
      <w:sz w:val="18"/>
      <w:lang w:val="en-US" w:eastAsia="zh-CN" w:bidi="ar-SA"/>
    </w:rPr>
  </w:style>
  <w:style w:type="character" w:customStyle="1" w:styleId="348">
    <w:name w:val="页眉 Char"/>
    <w:qFormat/>
    <w:locked/>
    <w:uiPriority w:val="99"/>
    <w:rPr>
      <w:rFonts w:ascii="Times New Roman" w:hAnsi="Times New Roman" w:eastAsia="宋体" w:cs="Times New Roman"/>
      <w:kern w:val="0"/>
      <w:sz w:val="18"/>
      <w:szCs w:val="18"/>
    </w:rPr>
  </w:style>
  <w:style w:type="character" w:customStyle="1" w:styleId="349">
    <w:name w:val="正文文本缩进 2 Char1"/>
    <w:qFormat/>
    <w:locked/>
    <w:uiPriority w:val="0"/>
    <w:rPr>
      <w:rFonts w:ascii="Times New Roman" w:hAnsi="Times New Roman" w:eastAsia="宋体" w:cs="Times New Roman"/>
      <w:kern w:val="0"/>
      <w:sz w:val="20"/>
      <w:szCs w:val="20"/>
    </w:rPr>
  </w:style>
  <w:style w:type="character" w:customStyle="1" w:styleId="350">
    <w:name w:val="Footer Char"/>
    <w:qFormat/>
    <w:uiPriority w:val="0"/>
    <w:rPr>
      <w:rFonts w:eastAsia="宋体"/>
      <w:sz w:val="18"/>
      <w:lang w:val="en-US" w:eastAsia="zh-CN"/>
    </w:rPr>
  </w:style>
  <w:style w:type="character" w:customStyle="1" w:styleId="351">
    <w:name w:val="Char Char Char11"/>
    <w:link w:val="158"/>
    <w:qFormat/>
    <w:uiPriority w:val="0"/>
    <w:rPr>
      <w:rFonts w:ascii="Tahoma" w:hAnsi="Tahoma" w:eastAsia="宋体"/>
      <w:kern w:val="2"/>
      <w:sz w:val="24"/>
      <w:lang w:val="en-US" w:eastAsia="zh-CN" w:bidi="ar-SA"/>
    </w:rPr>
  </w:style>
  <w:style w:type="character" w:customStyle="1" w:styleId="352">
    <w:name w:val="Char Char12"/>
    <w:link w:val="257"/>
    <w:qFormat/>
    <w:uiPriority w:val="0"/>
    <w:rPr>
      <w:rFonts w:ascii="Tahoma" w:hAnsi="Tahoma" w:eastAsia="宋体"/>
      <w:kern w:val="2"/>
      <w:sz w:val="24"/>
      <w:szCs w:val="24"/>
      <w:lang w:val="en-US" w:eastAsia="zh-CN" w:bidi="ar-SA"/>
    </w:rPr>
  </w:style>
  <w:style w:type="character" w:customStyle="1" w:styleId="353">
    <w:name w:val="纯文本字符"/>
    <w:qFormat/>
    <w:uiPriority w:val="0"/>
    <w:rPr>
      <w:rFonts w:ascii="宋体" w:hAnsi="Courier New" w:eastAsia="宋体" w:cs="Courier New"/>
      <w:kern w:val="2"/>
      <w:sz w:val="21"/>
      <w:szCs w:val="21"/>
      <w:lang w:val="en-US" w:eastAsia="zh-CN" w:bidi="ar-SA"/>
    </w:rPr>
  </w:style>
  <w:style w:type="character" w:customStyle="1" w:styleId="354">
    <w:name w:val="标题 4 Char1"/>
    <w:link w:val="6"/>
    <w:qFormat/>
    <w:uiPriority w:val="0"/>
    <w:rPr>
      <w:rFonts w:ascii="宋体" w:hAnsi="Arial" w:eastAsia="宋体"/>
      <w:snapToGrid w:val="0"/>
      <w:color w:val="000000"/>
      <w:sz w:val="21"/>
      <w:lang w:val="en-US" w:eastAsia="zh-CN" w:bidi="ar-SA"/>
    </w:rPr>
  </w:style>
  <w:style w:type="character" w:customStyle="1" w:styleId="355">
    <w:name w:val="Heading 4 Char"/>
    <w:qFormat/>
    <w:locked/>
    <w:uiPriority w:val="0"/>
    <w:rPr>
      <w:rFonts w:ascii="宋体" w:hAnsi="Arial" w:eastAsia="宋体" w:cs="宋体"/>
      <w:color w:val="000000"/>
      <w:sz w:val="21"/>
      <w:lang w:val="en-US" w:eastAsia="zh-CN" w:bidi="ar-SA"/>
    </w:rPr>
  </w:style>
  <w:style w:type="character" w:customStyle="1" w:styleId="356">
    <w:name w:val="ll1"/>
    <w:qFormat/>
    <w:uiPriority w:val="0"/>
    <w:rPr>
      <w:spacing w:val="31680"/>
    </w:rPr>
  </w:style>
  <w:style w:type="character" w:customStyle="1" w:styleId="357">
    <w:name w:val="标题 7 Char"/>
    <w:link w:val="10"/>
    <w:qFormat/>
    <w:locked/>
    <w:uiPriority w:val="0"/>
    <w:rPr>
      <w:rFonts w:ascii="宋体" w:eastAsia="宋体"/>
      <w:b/>
      <w:snapToGrid w:val="0"/>
      <w:color w:val="000000"/>
      <w:sz w:val="24"/>
      <w:lang w:val="en-US" w:eastAsia="zh-CN" w:bidi="ar-SA"/>
    </w:rPr>
  </w:style>
  <w:style w:type="character" w:customStyle="1" w:styleId="358">
    <w:name w:val="标题 2 Char1"/>
    <w:link w:val="4"/>
    <w:qFormat/>
    <w:uiPriority w:val="0"/>
    <w:rPr>
      <w:rFonts w:ascii="宋体" w:hAnsi="Arial" w:eastAsia="宋体" w:cs="Arial"/>
      <w:b/>
      <w:color w:val="000000"/>
      <w:sz w:val="30"/>
      <w:szCs w:val="30"/>
      <w:lang w:val="en-US" w:eastAsia="zh-CN" w:bidi="ar-SA"/>
    </w:rPr>
  </w:style>
  <w:style w:type="character" w:customStyle="1" w:styleId="359">
    <w:name w:val="文档结构图 Char1"/>
    <w:qFormat/>
    <w:locked/>
    <w:uiPriority w:val="0"/>
    <w:rPr>
      <w:rFonts w:ascii="宋体" w:hAnsi="Times New Roman" w:eastAsia="宋体" w:cs="Times New Roman"/>
      <w:kern w:val="0"/>
      <w:sz w:val="18"/>
      <w:szCs w:val="18"/>
    </w:rPr>
  </w:style>
  <w:style w:type="character" w:customStyle="1" w:styleId="360">
    <w:name w:val="纯文本 Char"/>
    <w:qFormat/>
    <w:uiPriority w:val="0"/>
    <w:rPr>
      <w:rFonts w:ascii="宋体" w:hAnsi="Courier New" w:eastAsia="宋体"/>
      <w:kern w:val="2"/>
      <w:sz w:val="21"/>
      <w:lang w:val="en-US" w:eastAsia="zh-CN" w:bidi="ar-SA"/>
    </w:rPr>
  </w:style>
  <w:style w:type="character" w:customStyle="1" w:styleId="361">
    <w:name w:val="正文文本缩进 3 Char"/>
    <w:link w:val="40"/>
    <w:qFormat/>
    <w:locked/>
    <w:uiPriority w:val="0"/>
    <w:rPr>
      <w:rFonts w:eastAsia="宋体"/>
      <w:kern w:val="2"/>
      <w:sz w:val="21"/>
      <w:lang w:val="en-US" w:eastAsia="zh-CN" w:bidi="ar-SA"/>
    </w:rPr>
  </w:style>
  <w:style w:type="character" w:customStyle="1" w:styleId="362">
    <w:name w:val="main"/>
    <w:qFormat/>
    <w:uiPriority w:val="0"/>
  </w:style>
  <w:style w:type="character" w:customStyle="1" w:styleId="363">
    <w:name w:val="apple-converted-space"/>
    <w:qFormat/>
    <w:uiPriority w:val="0"/>
  </w:style>
  <w:style w:type="character" w:customStyle="1" w:styleId="364">
    <w:name w:val="纯文本 字符"/>
    <w:qFormat/>
    <w:uiPriority w:val="0"/>
    <w:rPr>
      <w:rFonts w:ascii="宋体" w:hAnsi="Courier New" w:eastAsia="宋体"/>
      <w:kern w:val="2"/>
      <w:sz w:val="21"/>
      <w:lang w:val="en-US" w:eastAsia="zh-CN" w:bidi="ar-SA"/>
    </w:rPr>
  </w:style>
  <w:style w:type="character" w:customStyle="1" w:styleId="365">
    <w:name w:val="Heading 1 Char"/>
    <w:qFormat/>
    <w:uiPriority w:val="0"/>
    <w:rPr>
      <w:rFonts w:eastAsia="宋体" w:cs="Times New Roman"/>
      <w:b/>
      <w:bCs/>
      <w:kern w:val="44"/>
      <w:sz w:val="44"/>
      <w:szCs w:val="44"/>
      <w:lang w:val="en-US" w:eastAsia="zh-CN" w:bidi="ar-SA"/>
    </w:rPr>
  </w:style>
  <w:style w:type="character" w:customStyle="1" w:styleId="366">
    <w:name w:val="huei12b"/>
    <w:basedOn w:val="47"/>
    <w:qFormat/>
    <w:uiPriority w:val="0"/>
  </w:style>
  <w:style w:type="character" w:customStyle="1" w:styleId="367">
    <w:name w:val="Char Char10"/>
    <w:qFormat/>
    <w:uiPriority w:val="0"/>
    <w:rPr>
      <w:rFonts w:ascii="楷体_GB2312" w:eastAsia="楷体_GB2312"/>
      <w:kern w:val="2"/>
      <w:sz w:val="28"/>
      <w:lang w:val="en-US" w:eastAsia="zh-CN" w:bidi="ar-SA"/>
    </w:rPr>
  </w:style>
  <w:style w:type="character" w:customStyle="1" w:styleId="368">
    <w:name w:val="正文文本 3 Char"/>
    <w:link w:val="20"/>
    <w:qFormat/>
    <w:locked/>
    <w:uiPriority w:val="0"/>
    <w:rPr>
      <w:rFonts w:eastAsia="宋体"/>
      <w:sz w:val="16"/>
      <w:szCs w:val="16"/>
      <w:lang w:val="en-US" w:eastAsia="zh-CN" w:bidi="ar-SA"/>
    </w:rPr>
  </w:style>
  <w:style w:type="character" w:customStyle="1" w:styleId="369">
    <w:name w:val="正文文本 Char"/>
    <w:link w:val="2"/>
    <w:qFormat/>
    <w:locked/>
    <w:uiPriority w:val="0"/>
    <w:rPr>
      <w:rFonts w:eastAsia="宋体"/>
      <w:kern w:val="2"/>
      <w:sz w:val="28"/>
      <w:lang w:val="en-US" w:eastAsia="zh-CN" w:bidi="ar-SA"/>
    </w:rPr>
  </w:style>
  <w:style w:type="character" w:customStyle="1" w:styleId="370">
    <w:name w:val="ww-light ww-large"/>
    <w:qFormat/>
    <w:uiPriority w:val="0"/>
    <w:rPr>
      <w:rFonts w:cs="Times New Roman"/>
    </w:rPr>
  </w:style>
  <w:style w:type="character" w:customStyle="1" w:styleId="371">
    <w:name w:val="p141"/>
    <w:qFormat/>
    <w:uiPriority w:val="0"/>
    <w:rPr>
      <w:sz w:val="21"/>
    </w:rPr>
  </w:style>
  <w:style w:type="character" w:customStyle="1" w:styleId="372">
    <w:name w:val="标题 1 Char"/>
    <w:link w:val="3"/>
    <w:qFormat/>
    <w:uiPriority w:val="0"/>
    <w:rPr>
      <w:rFonts w:ascii="宋体" w:hAnsi="宋体" w:eastAsia="宋体"/>
      <w:b/>
      <w:kern w:val="44"/>
      <w:sz w:val="24"/>
      <w:lang w:val="en-US" w:eastAsia="zh-CN" w:bidi="ar-SA"/>
    </w:rPr>
  </w:style>
  <w:style w:type="character" w:customStyle="1" w:styleId="373">
    <w:name w:val="Char Char3"/>
    <w:qFormat/>
    <w:uiPriority w:val="0"/>
    <w:rPr>
      <w:rFonts w:eastAsia="宋体"/>
      <w:sz w:val="21"/>
      <w:lang w:val="en-US" w:eastAsia="zh-CN" w:bidi="ar-SA"/>
    </w:rPr>
  </w:style>
  <w:style w:type="character" w:customStyle="1" w:styleId="374">
    <w:name w:val="Default Char"/>
    <w:link w:val="258"/>
    <w:qFormat/>
    <w:locked/>
    <w:uiPriority w:val="0"/>
    <w:rPr>
      <w:rFonts w:ascii="Arial" w:hAnsi="Arial" w:cs="Arial"/>
      <w:color w:val="000000"/>
      <w:sz w:val="24"/>
      <w:szCs w:val="24"/>
      <w:lang w:val="en-US" w:eastAsia="zh-CN" w:bidi="ar-SA"/>
    </w:rPr>
  </w:style>
  <w:style w:type="character" w:customStyle="1" w:styleId="375">
    <w:name w:val="标题 Char1"/>
    <w:link w:val="46"/>
    <w:qFormat/>
    <w:locked/>
    <w:uiPriority w:val="0"/>
    <w:rPr>
      <w:rFonts w:ascii="Arial" w:hAnsi="Arial" w:eastAsia="宋体" w:cs="Arial"/>
      <w:b/>
      <w:bCs/>
      <w:kern w:val="2"/>
      <w:sz w:val="32"/>
      <w:szCs w:val="32"/>
      <w:lang w:val="en-US" w:eastAsia="zh-CN" w:bidi="ar-SA"/>
    </w:rPr>
  </w:style>
  <w:style w:type="character" w:customStyle="1" w:styleId="376">
    <w:name w:val="批注文字 Char1"/>
    <w:qFormat/>
    <w:uiPriority w:val="0"/>
    <w:rPr>
      <w:rFonts w:cs="Times New Roman"/>
      <w:kern w:val="2"/>
      <w:sz w:val="24"/>
      <w:szCs w:val="24"/>
    </w:rPr>
  </w:style>
  <w:style w:type="character" w:customStyle="1" w:styleId="377">
    <w:name w:val="Heading 3 Char1"/>
    <w:qFormat/>
    <w:locked/>
    <w:uiPriority w:val="0"/>
    <w:rPr>
      <w:rFonts w:ascii="宋体" w:eastAsia="宋体" w:cs="宋体"/>
      <w:sz w:val="21"/>
      <w:lang w:val="en-US" w:eastAsia="zh-CN" w:bidi="ar-SA"/>
    </w:rPr>
  </w:style>
  <w:style w:type="character" w:customStyle="1" w:styleId="378">
    <w:name w:val="Char Char2"/>
    <w:qFormat/>
    <w:uiPriority w:val="0"/>
    <w:rPr>
      <w:rFonts w:ascii="宋体" w:hAnsi="Courier New" w:eastAsia="宋体"/>
      <w:kern w:val="2"/>
      <w:sz w:val="21"/>
      <w:lang w:val="en-US" w:eastAsia="zh-CN" w:bidi="ar-SA"/>
    </w:rPr>
  </w:style>
  <w:style w:type="character" w:customStyle="1" w:styleId="379">
    <w:name w:val="f121"/>
    <w:qFormat/>
    <w:uiPriority w:val="0"/>
    <w:rPr>
      <w:rFonts w:hint="default" w:ascii="ˎ̥" w:hAnsi="ˎ̥"/>
      <w:sz w:val="18"/>
      <w:szCs w:val="18"/>
    </w:rPr>
  </w:style>
  <w:style w:type="character" w:customStyle="1" w:styleId="380">
    <w:name w:val="Char Char11"/>
    <w:qFormat/>
    <w:uiPriority w:val="0"/>
    <w:rPr>
      <w:rFonts w:ascii="Times New Roman" w:hAnsi="Times New Roman" w:eastAsia="宋体" w:cs="Times New Roman"/>
      <w:kern w:val="0"/>
      <w:sz w:val="21"/>
      <w:szCs w:val="21"/>
    </w:rPr>
  </w:style>
  <w:style w:type="character" w:customStyle="1" w:styleId="381">
    <w:name w:val="表格名称 Char"/>
    <w:link w:val="269"/>
    <w:qFormat/>
    <w:uiPriority w:val="0"/>
    <w:rPr>
      <w:rFonts w:ascii="宋体" w:hAnsi="宋体"/>
      <w:b/>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5302</Words>
  <Characters>30228</Characters>
  <Lines>251</Lines>
  <Paragraphs>70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2017-12-14T00:53:00Z</dcterms:created>
  <dc:creator>微软（中国）有限公司</dc:creator>
  <cp:lastModifiedBy>Relax</cp:lastModifiedBy>
  <cp:lastPrinted>2017-12-26T09:14:00Z</cp:lastPrinted>
  <dcterms:modified xsi:type="dcterms:W3CDTF">2019-01-18T08:34:47Z</dcterms:modified>
  <dc:title>第一部分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